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footer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footer10.xml" ContentType="application/vnd.openxmlformats-officedocument.wordprocessingml.footer+xml"/>
  <Override PartName="/word/header36.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209.65pt;height:841.95pt;mso-position-horizontal-relative:page;mso-position-vertical-relative:page;z-index:-85120" coordorigin="0,0" coordsize="4193,16839">
            <v:shape style="position:absolute;left:0;top:0;width:4193;height:16839" type="#_x0000_t75" stroked="false">
              <v:imagedata r:id="rId5" o:title=""/>
            </v:shape>
            <v:shape style="position:absolute;left:0;top:9684;width:3936;height:5548"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line="5798" w:lineRule="exact" w:before="0"/>
        <w:ind w:left="-798" w:right="0" w:firstLine="0"/>
        <w:jc w:val="left"/>
        <w:rPr>
          <w:b/>
          <w:sz w:val="72"/>
        </w:rPr>
      </w:pPr>
      <w:r>
        <w:rPr/>
        <w:pict>
          <v:group style="position:absolute;margin-left:338.438965pt;margin-top:-144.046661pt;width:128.1pt;height:176.95pt;mso-position-horizontal-relative:page;mso-position-vertical-relative:paragraph;z-index:-85096" coordorigin="6769,-2881" coordsize="2562,3539">
            <v:shape style="position:absolute;left:6768;top:-2881;width:2562;height:3539" type="#_x0000_t75" stroked="false">
              <v:imagedata r:id="rId7" o:title=""/>
            </v:shape>
            <v:shape style="position:absolute;left:6768;top:-1676;width:2562;height:2333" coordorigin="6769,-1676" coordsize="2562,2333" path="m6769,-1676l6769,657,9330,657,9330,-1626,9071,-1656,6769,-1676xe" filled="true" fillcolor="#ffffff" stroked="false">
              <v:path arrowok="t"/>
              <v:fill type="solid"/>
            </v:shape>
            <v:rect style="position:absolute;left:6768;top:-2881;width:2562;height:3539" filled="true" fillcolor="#231f20" stroked="false">
              <v:fill type="solid"/>
            </v:rect>
            <v:shape style="position:absolute;left:6874;top:-2781;width:2307;height:3434" coordorigin="6874,-2780" coordsize="2307,3434" path="m7483,-2338l7471,-2408,7455,-2436,7444,-2458,7437,-2473,7434,-2482,7411,-2506,7384,-2535,7353,-2559,7353,-2392,7352,-2362,7348,-2329,7343,-2291,7336,-2248,7291,-2166,7249,-2107,7211,-2072,7177,-2060,7133,-2063,7098,-2071,7072,-2083,7054,-2101,7054,-2363,7107,-2426,7153,-2470,7192,-2497,7226,-2506,7234,-2506,7270,-2499,7302,-2477,7329,-2442,7353,-2392,7353,-2559,7334,-2574,7286,-2597,7238,-2604,7218,-2602,7191,-2597,7155,-2588,7111,-2576,7058,-2547,7013,-2527,6978,-2514,6952,-2510,6939,-2496,6930,-2453,6925,-2381,6923,-2291,6923,-1803,6922,-1714,6920,-1629,6917,-1549,6912,-1473,6906,-1402,6899,-1334,6890,-1271,6890,-1251,6895,-1222,6908,-1198,6929,-1179,6960,-1165,6992,-1184,7015,-1205,7029,-1227,7034,-1251,7036,-1398,7039,-1528,7043,-1641,7047,-1737,7052,-1815,7058,-1876,7064,-1919,7071,-1945,7079,-1954,7083,-1954,7152,-1938,7208,-1945,7232,-1954,7263,-1966,7315,-2002,7365,-2052,7370,-2060,7417,-2133,7454,-2208,7476,-2275,7483,-2334,7483,-2338m8028,-1045l8019,-1096,8000,-1131,7972,-1151,7935,-1155,7892,-1147,7862,-1129,7845,-1101,7842,-1064,7843,-1047,7843,-1018,7844,-977,7845,-923,7847,-848,7848,-766,7850,-588,7853,-291,7854,-208,7850,-137,7845,-85,7840,-54,7835,-44,7830,26,7824,76,7818,106,7810,117,7794,118,7788,116,7779,109,7768,96,7754,79,7735,15,7715,-56,7693,-133,7676,-198,7670,-218,7646,-309,7621,-407,7584,-539,7550,-628,7519,-677,7491,-683,7452,-684,7422,-663,7402,-621,7392,-557,7385,-493,7375,-419,7362,-334,7344,-240,7324,-135,7296,-14,7270,76,7246,134,7223,161,7212,153,7201,122,7189,83,7178,34,7166,-24,7154,-91,7142,-167,7130,-253,7117,-347,7104,-451,7091,-565,7078,-687,7064,-819,7062,-851,7064,-1033,7057,-1067,7041,-1091,7017,-1104,6985,-1107,6948,-1100,6917,-1085,6892,-1063,6874,-1033,6881,-1015,6890,-931,6900,-848,6909,-766,6919,-683,6928,-605,6938,-525,6948,-446,6957,-368,6967,-291,6977,-214,6988,-132,6998,-54,7007,10,7017,83,7027,95,7038,131,7048,191,7059,275,7070,384,7081,517,7091,577,7111,619,7141,643,7181,649,7206,643,7230,629,7253,607,7275,577,7278,535,7293,473,7318,391,7355,289,7402,166,7404,161,7441,56,7453,-54,7468,-132,7487,-180,7508,-197,7513,-198,7540,-104,7565,-16,7591,66,7616,144,7641,216,7666,283,7690,345,7691,354,7686,359,7695,369,7705,381,7713,396,7721,412,7747,521,7779,597,7817,641,7861,654,7861,649,7887,645,7910,636,7930,623,7947,605,7949,551,7951,490,7955,422,7959,348,7964,268,7970,181,7975,118,7978,76,7984,-13,8028,-1045m8432,-2657l8427,-2702,8415,-2734,8395,-2753,8366,-2760,8332,-2755,8308,-2741,8293,-2718,8288,-2686,8288,-2666,8286,-2631,8284,-2579,8280,-2511,8276,-2428,8270,-2323,8264,-2213,8256,-2082,8247,-1934,8240,-1872,8234,-1827,8228,-1800,8223,-1791,8215,-1731,8208,-1687,8201,-1661,8194,-1652,8182,-1652,8177,-1655,8171,-1662,8163,-1673,8153,-1689,8142,-1746,8131,-1810,8118,-1879,8107,-1948,8106,-1955,8093,-2036,8079,-2124,8058,-2242,8037,-2323,8015,-2368,7994,-2375,7964,-2378,7940,-2362,7922,-2326,7910,-2271,7901,-2215,7889,-2151,7873,-2078,7854,-1996,7832,-1905,7803,-1801,7778,-1724,7756,-1674,7736,-1652,7728,-1661,7721,-1691,7714,-1731,7707,-1780,7701,-1839,7695,-1908,7690,-1986,7685,-2074,7681,-2172,7677,-2279,7674,-2396,7671,-2522,7671,-2551,7683,-2711,7680,-2741,7669,-2763,7651,-2776,7626,-2780,7597,-2777,7572,-2766,7552,-2748,7536,-2723,7540,-2707,7543,-2620,7546,-2535,7549,-2451,7552,-2367,7555,-2285,7558,-2203,7562,-2123,7565,-2043,7569,-1964,7573,-1887,7577,-1800,7581,-1734,7590,-1719,7597,-1673,7601,-1596,7604,-1488,7605,-1350,7610,-1296,7623,-1258,7644,-1235,7675,-1227,7695,-1231,7714,-1241,7734,-1259,7753,-1284,7758,-1321,7772,-1374,7797,-1444,7831,-1532,7875,-1636,7882,-1652,7912,-1730,7928,-1825,7944,-1893,7961,-1934,7979,-1948,7983,-1948,8000,-1851,8018,-1760,8035,-1676,8053,-1597,8070,-1526,8088,-1460,8088,-1452,8084,-1448,8091,-1439,8097,-1427,8103,-1414,8108,-1399,8122,-1302,8142,-1233,8169,-1192,8203,-1178,8203,-1182,8223,-1184,8241,-1190,8258,-1200,8272,-1215,8277,-1270,8284,-1332,8292,-1401,8301,-1479,8312,-1563,8324,-1652,8337,-1755,8432,-2657m9161,-1176l9154,-1265,9148,-1352,9144,-1413,9143,-1436,9138,-1519,9135,-1596,9132,-1672,9130,-1740,9130,-1745,9129,-1816,9128,-1864,9128,-1888,9145,-2288,9140,-2497,9136,-2570,9124,-2623,9104,-2654,9075,-2665,9055,-2661,9036,-2650,9016,-2632,8997,-2607,9001,-2297,9001,-2141,8996,-2030,8989,-1951,8980,-1903,8969,-1888,8936,-1885,8936,-1699,8931,-1678,8926,-1667,8920,-1667,8911,-1629,8901,-1596,8890,-1566,8879,-1540,8849,-1447,8806,-1380,8749,-1340,8678,-1327,8666,-1327,8648,-1332,8635,-1345,8628,-1366,8625,-1397,8625,-1429,8662,-1519,8706,-1616,8754,-1685,8808,-1726,8866,-1740,8897,-1733,8919,-1724,8932,-1713,8936,-1699,8936,-1885,8889,-1882,8818,-1864,8753,-1835,8697,-1794,8648,-1741,8607,-1677,8557,-1578,8522,-1492,8501,-1420,8494,-1360,8495,-1342,8497,-1323,8501,-1303,8507,-1282,8545,-1241,8586,-1212,8631,-1194,8678,-1188,8711,-1191,8747,-1200,8787,-1216,8830,-1237,8858,-1248,8894,-1281,8929,-1327,8936,-1336,8985,-1413,8997,-1405,9000,-1335,9004,-1273,9008,-1219,9014,-1172,9019,-1115,9033,-1074,9057,-1049,9091,-1041,9124,-1045,9139,-1060,9150,-1087,9157,-1126,9161,-1176m9180,528l9170,469,9159,424,9148,392,9137,373,9112,228,9089,103,9070,-3,9053,-89,9053,-93,9040,-157,9030,-202,9029,-205,9021,-233,9017,-243,8987,-365,8959,-474,8934,-569,8911,-650,8891,-717,8876,-760,8876,-288,8873,-255,8866,-240,8840,-228,8796,-219,8734,-212,8650,-206,8577,-202,8524,-204,8492,-212,8480,-225,8476,-281,8476,-301,8477,-316,8479,-325,8483,-328,8493,-455,8502,-564,8512,-657,8521,-734,8530,-793,8540,-836,8550,-896,8559,-939,8566,-965,8571,-974,8577,-974,8605,-964,8637,-931,8673,-874,8712,-793,8754,-666,8790,-563,8820,-485,8842,-432,8857,-403,8863,-329,8876,-288,8876,-760,8872,-771,8856,-810,8830,-869,8801,-931,8781,-974,8740,-1063,8704,-1124,8661,-1167,8611,-1193,8554,-1201,8526,-1194,8497,-1179,8468,-1155,8439,-1122,8428,-1074,8418,-1038,8408,-1014,8400,-1003,8394,-942,8388,-879,8381,-814,8373,-746,8365,-676,8357,-604,8349,-530,8340,-453,8331,-374,8321,-293,8310,-204,8300,-124,8290,-36,8278,55,8267,147,8255,242,8243,339,8230,439,8217,540,8224,565,8240,584,8265,597,8301,604,8313,602,8325,596,8338,588,8351,577,8430,16,8440,-6,8472,-26,8527,-45,8605,-62,8705,-78,8828,-93,8891,-89,8904,-74,8918,-30,8936,46,8955,151,8978,287,8988,417,9004,497,9027,554,9058,586,9096,595,9134,581,9161,565,9176,547,9180,528e" filled="true" fillcolor="#ffffff" stroked="false">
              <v:path arrowok="t"/>
              <v:fill type="solid"/>
            </v:shape>
            <w10:wrap type="none"/>
          </v:group>
        </w:pict>
      </w:r>
      <w:r>
        <w:rPr/>
        <w:pict>
          <v:group style="position:absolute;margin-left:338.438995pt;margin-top:43.055336pt;width:127.8pt;height:115.5pt;mso-position-horizontal-relative:page;mso-position-vertical-relative:paragraph;z-index:-85072" coordorigin="6769,861" coordsize="2556,2310">
            <v:shape style="position:absolute;left:6768;top:861;width:2556;height:1475" type="#_x0000_t75" stroked="false">
              <v:imagedata r:id="rId8" o:title=""/>
            </v:shape>
            <v:shape style="position:absolute;left:6768;top:861;width:2556;height:2310" type="#_x0000_t75" stroked="false">
              <v:imagedata r:id="rId9" o:title=""/>
            </v:shape>
            <w10:wrap type="none"/>
          </v:group>
        </w:pict>
      </w:r>
      <w:r>
        <w:rPr/>
        <w:pict>
          <v:shape style="position:absolute;margin-left:44.387459pt;margin-top:219.215317pt;width:148.2pt;height:337.6pt;mso-position-horizontal-relative:page;mso-position-vertical-relative:paragraph;z-index:-85048;rotation:356" type="#_x0000_t136" fillcolor="#000000" stroked="f">
            <o:extrusion v:ext="view" autorotationcenter="t"/>
            <v:textpath style="font-family:&amp;quot;Arial&amp;quot;;font-size:337pt;v-text-kern:t;mso-text-shadow:auto" string="A"/>
            <w10:wrap type="none"/>
          </v:shape>
        </w:pict>
      </w:r>
      <w:r>
        <w:rPr>
          <w:w w:val="85"/>
          <w:position w:val="38"/>
          <w:sz w:val="593"/>
        </w:rPr>
        <w:t>wd</w:t>
      </w:r>
      <w:r>
        <w:rPr>
          <w:spacing w:val="-423"/>
          <w:w w:val="85"/>
          <w:position w:val="38"/>
          <w:sz w:val="593"/>
        </w:rPr>
        <w:t> </w:t>
      </w:r>
      <w:r>
        <w:rPr>
          <w:b/>
          <w:color w:val="231F20"/>
          <w:w w:val="85"/>
          <w:sz w:val="72"/>
        </w:rPr>
        <w:t>Annual Report</w:t>
      </w:r>
    </w:p>
    <w:p>
      <w:pPr>
        <w:spacing w:before="24"/>
        <w:ind w:left="6232" w:right="0" w:firstLine="0"/>
        <w:jc w:val="left"/>
        <w:rPr>
          <w:b/>
          <w:sz w:val="72"/>
        </w:rPr>
      </w:pPr>
      <w:r>
        <w:rPr>
          <w:b/>
          <w:color w:val="231F20"/>
          <w:sz w:val="72"/>
        </w:rPr>
        <w:t>2014 -</w:t>
      </w:r>
      <w:r>
        <w:rPr>
          <w:b/>
          <w:color w:val="231F20"/>
          <w:spacing w:val="-58"/>
          <w:sz w:val="72"/>
        </w:rPr>
        <w:t> </w:t>
      </w:r>
      <w:r>
        <w:rPr>
          <w:b/>
          <w:color w:val="231F20"/>
          <w:sz w:val="72"/>
        </w:rPr>
        <w:t>2015</w:t>
      </w:r>
    </w:p>
    <w:p>
      <w:pPr>
        <w:spacing w:after="0"/>
        <w:jc w:val="left"/>
        <w:rPr>
          <w:sz w:val="72"/>
        </w:rPr>
        <w:sectPr>
          <w:type w:val="continuous"/>
          <w:pgSz w:w="11910" w:h="16840"/>
          <w:pgMar w:top="0" w:bottom="0" w:left="0" w:right="220"/>
        </w:sectPr>
      </w:pPr>
    </w:p>
    <w:p>
      <w:pPr>
        <w:pStyle w:val="BodyText"/>
        <w:spacing w:before="4"/>
        <w:rPr>
          <w:rFonts w:ascii="Times New Roman"/>
          <w:sz w:val="17"/>
        </w:rPr>
      </w:pPr>
    </w:p>
    <w:p>
      <w:pPr>
        <w:spacing w:after="0"/>
        <w:rPr>
          <w:rFonts w:ascii="Times New Roman"/>
          <w:sz w:val="17"/>
        </w:rPr>
        <w:sectPr>
          <w:pgSz w:w="11910" w:h="16840"/>
          <w:pgMar w:top="1580" w:bottom="280" w:left="0" w:right="220"/>
        </w:sectPr>
      </w:pPr>
    </w:p>
    <w:p>
      <w:pPr>
        <w:pStyle w:val="BodyText"/>
        <w:spacing w:before="7"/>
        <w:rPr>
          <w:rFonts w:ascii="Times New Roman"/>
          <w:sz w:val="28"/>
        </w:rPr>
      </w:pPr>
    </w:p>
    <w:p>
      <w:pPr>
        <w:spacing w:before="92"/>
        <w:ind w:left="1440" w:right="0" w:firstLine="0"/>
        <w:jc w:val="left"/>
        <w:rPr>
          <w:b/>
          <w:sz w:val="28"/>
        </w:rPr>
      </w:pPr>
      <w:r>
        <w:rPr>
          <w:b/>
          <w:color w:val="231F20"/>
          <w:sz w:val="28"/>
        </w:rPr>
        <w:t>People With Disabilities (WA) Inc Annual Report 2014 – 2015</w:t>
      </w:r>
    </w:p>
    <w:p>
      <w:pPr>
        <w:pStyle w:val="BodyText"/>
        <w:rPr>
          <w:b/>
          <w:sz w:val="30"/>
        </w:rPr>
      </w:pPr>
    </w:p>
    <w:p>
      <w:pPr>
        <w:pStyle w:val="BodyText"/>
        <w:spacing w:before="6"/>
        <w:rPr>
          <w:b/>
          <w:sz w:val="31"/>
        </w:rPr>
      </w:pPr>
    </w:p>
    <w:p>
      <w:pPr>
        <w:spacing w:before="1"/>
        <w:ind w:left="1440" w:right="0" w:firstLine="0"/>
        <w:jc w:val="left"/>
        <w:rPr>
          <w:b/>
          <w:sz w:val="28"/>
        </w:rPr>
      </w:pPr>
      <w:r>
        <w:rPr>
          <w:b/>
          <w:color w:val="231F20"/>
          <w:sz w:val="28"/>
        </w:rPr>
        <w:t>Contents</w:t>
      </w:r>
    </w:p>
    <w:sdt>
      <w:sdtPr>
        <w:docPartObj>
          <w:docPartGallery w:val="Table of Contents"/>
          <w:docPartUnique/>
        </w:docPartObj>
      </w:sdtPr>
      <w:sdtEndPr/>
      <w:sdtContent>
        <w:p>
          <w:pPr>
            <w:pStyle w:val="TOC1"/>
            <w:tabs>
              <w:tab w:pos="10098" w:val="right" w:leader="dot"/>
            </w:tabs>
            <w:spacing w:before="87"/>
          </w:pPr>
          <w:r>
            <w:fldChar w:fldCharType="begin"/>
          </w:r>
          <w:r>
            <w:instrText>TOC \o "1-1" \h \z \u </w:instrText>
          </w:r>
          <w:r>
            <w:fldChar w:fldCharType="separate"/>
          </w:r>
          <w:hyperlink w:history="true" w:anchor="_TOC_250016">
            <w:r>
              <w:rPr>
                <w:color w:val="231F20"/>
              </w:rPr>
              <w:t>Our Vision</w:t>
              <w:tab/>
              <w:t>3</w:t>
            </w:r>
          </w:hyperlink>
        </w:p>
        <w:p>
          <w:pPr>
            <w:pStyle w:val="TOC1"/>
            <w:tabs>
              <w:tab w:pos="10098" w:val="right" w:leader="dot"/>
            </w:tabs>
          </w:pPr>
          <w:hyperlink w:history="true" w:anchor="_TOC_250015">
            <w:r>
              <w:rPr>
                <w:color w:val="231F20"/>
              </w:rPr>
              <w:t>Our</w:t>
            </w:r>
            <w:r>
              <w:rPr>
                <w:color w:val="231F20"/>
                <w:spacing w:val="-1"/>
              </w:rPr>
              <w:t> </w:t>
            </w:r>
            <w:r>
              <w:rPr>
                <w:color w:val="231F20"/>
              </w:rPr>
              <w:t>Mission</w:t>
              <w:tab/>
              <w:t>3</w:t>
            </w:r>
          </w:hyperlink>
        </w:p>
        <w:p>
          <w:pPr>
            <w:pStyle w:val="TOC1"/>
            <w:tabs>
              <w:tab w:pos="10098" w:val="right" w:leader="dot"/>
            </w:tabs>
            <w:spacing w:before="141"/>
          </w:pPr>
          <w:hyperlink w:history="true" w:anchor="_TOC_250014">
            <w:r>
              <w:rPr>
                <w:color w:val="231F20"/>
                <w:spacing w:val="1"/>
              </w:rPr>
              <w:t>We</w:t>
            </w:r>
            <w:r>
              <w:rPr>
                <w:color w:val="231F20"/>
                <w:spacing w:val="-3"/>
              </w:rPr>
              <w:t> </w:t>
            </w:r>
            <w:r>
              <w:rPr>
                <w:color w:val="231F20"/>
              </w:rPr>
              <w:t>value</w:t>
              <w:tab/>
              <w:t>3</w:t>
            </w:r>
          </w:hyperlink>
        </w:p>
        <w:p>
          <w:pPr>
            <w:pStyle w:val="TOC1"/>
            <w:tabs>
              <w:tab w:pos="10098" w:val="right" w:leader="dot"/>
            </w:tabs>
          </w:pPr>
          <w:hyperlink w:history="true" w:anchor="_TOC_250013">
            <w:r>
              <w:rPr>
                <w:color w:val="231F20"/>
              </w:rPr>
              <w:t>Guiding</w:t>
            </w:r>
            <w:r>
              <w:rPr>
                <w:color w:val="231F20"/>
                <w:spacing w:val="-3"/>
              </w:rPr>
              <w:t> </w:t>
            </w:r>
            <w:r>
              <w:rPr>
                <w:color w:val="231F20"/>
              </w:rPr>
              <w:t>principles</w:t>
              <w:tab/>
              <w:t>3</w:t>
            </w:r>
          </w:hyperlink>
        </w:p>
        <w:p>
          <w:pPr>
            <w:pStyle w:val="TOC1"/>
            <w:tabs>
              <w:tab w:pos="10097" w:val="right" w:leader="dot"/>
            </w:tabs>
          </w:pPr>
          <w:hyperlink w:history="true" w:anchor="_TOC_250012">
            <w:r>
              <w:rPr>
                <w:color w:val="231F20"/>
              </w:rPr>
              <w:t>PWdWA</w:t>
            </w:r>
            <w:r>
              <w:rPr>
                <w:color w:val="231F20"/>
                <w:spacing w:val="-5"/>
              </w:rPr>
              <w:t> </w:t>
            </w:r>
            <w:r>
              <w:rPr>
                <w:color w:val="231F20"/>
              </w:rPr>
              <w:t>Presidents</w:t>
            </w:r>
            <w:r>
              <w:rPr>
                <w:color w:val="231F20"/>
                <w:spacing w:val="-1"/>
              </w:rPr>
              <w:t> </w:t>
            </w:r>
            <w:r>
              <w:rPr>
                <w:color w:val="231F20"/>
              </w:rPr>
              <w:t>Report</w:t>
              <w:tab/>
              <w:t>4</w:t>
            </w:r>
          </w:hyperlink>
        </w:p>
        <w:p>
          <w:pPr>
            <w:pStyle w:val="TOC1"/>
            <w:tabs>
              <w:tab w:pos="10097" w:val="right" w:leader="dot"/>
            </w:tabs>
            <w:spacing w:before="141"/>
          </w:pPr>
          <w:hyperlink w:history="true" w:anchor="_TOC_250011">
            <w:r>
              <w:rPr>
                <w:color w:val="231F20"/>
              </w:rPr>
              <w:t>Committee of Management 2014</w:t>
            </w:r>
            <w:r>
              <w:rPr>
                <w:color w:val="231F20"/>
                <w:spacing w:val="0"/>
              </w:rPr>
              <w:t> </w:t>
            </w:r>
            <w:r>
              <w:rPr>
                <w:color w:val="231F20"/>
              </w:rPr>
              <w:t>-</w:t>
            </w:r>
            <w:r>
              <w:rPr>
                <w:color w:val="231F20"/>
                <w:spacing w:val="-2"/>
              </w:rPr>
              <w:t> </w:t>
            </w:r>
            <w:r>
              <w:rPr>
                <w:color w:val="231F20"/>
              </w:rPr>
              <w:t>2015</w:t>
              <w:tab/>
              <w:t>6</w:t>
            </w:r>
          </w:hyperlink>
        </w:p>
        <w:p>
          <w:pPr>
            <w:pStyle w:val="TOC1"/>
            <w:tabs>
              <w:tab w:pos="10097" w:val="right" w:leader="dot"/>
            </w:tabs>
            <w:spacing w:before="143"/>
          </w:pPr>
          <w:hyperlink w:history="true" w:anchor="_TOC_250010">
            <w:r>
              <w:rPr>
                <w:color w:val="231F20"/>
              </w:rPr>
              <w:t>PWdWA Executive</w:t>
            </w:r>
            <w:r>
              <w:rPr>
                <w:color w:val="231F20"/>
                <w:spacing w:val="-5"/>
              </w:rPr>
              <w:t> </w:t>
            </w:r>
            <w:r>
              <w:rPr>
                <w:color w:val="231F20"/>
              </w:rPr>
              <w:t>Director</w:t>
            </w:r>
            <w:r>
              <w:rPr>
                <w:color w:val="231F20"/>
                <w:spacing w:val="-1"/>
              </w:rPr>
              <w:t> </w:t>
            </w:r>
            <w:r>
              <w:rPr>
                <w:color w:val="231F20"/>
              </w:rPr>
              <w:t>Report</w:t>
              <w:tab/>
              <w:t>7</w:t>
            </w:r>
          </w:hyperlink>
        </w:p>
        <w:p>
          <w:pPr>
            <w:pStyle w:val="TOC1"/>
            <w:tabs>
              <w:tab w:pos="10101" w:val="right" w:leader="dot"/>
            </w:tabs>
            <w:spacing w:before="139"/>
          </w:pPr>
          <w:hyperlink w:history="true" w:anchor="_TOC_250009">
            <w:r>
              <w:rPr>
                <w:color w:val="231F20"/>
              </w:rPr>
              <w:t>Treasurers</w:t>
            </w:r>
            <w:r>
              <w:rPr>
                <w:color w:val="231F20"/>
                <w:spacing w:val="-1"/>
              </w:rPr>
              <w:t> </w:t>
            </w:r>
            <w:r>
              <w:rPr>
                <w:color w:val="231F20"/>
              </w:rPr>
              <w:t>Report</w:t>
              <w:tab/>
              <w:t>10</w:t>
            </w:r>
          </w:hyperlink>
        </w:p>
        <w:p>
          <w:pPr>
            <w:pStyle w:val="TOC1"/>
            <w:tabs>
              <w:tab w:pos="10101" w:val="right" w:leader="dot"/>
            </w:tabs>
            <w:spacing w:before="141"/>
          </w:pPr>
          <w:hyperlink w:history="true" w:anchor="_TOC_250008">
            <w:r>
              <w:rPr>
                <w:color w:val="231F20"/>
              </w:rPr>
              <w:t>Membership</w:t>
              <w:tab/>
              <w:t>11</w:t>
            </w:r>
          </w:hyperlink>
        </w:p>
        <w:p>
          <w:pPr>
            <w:pStyle w:val="TOC1"/>
            <w:tabs>
              <w:tab w:pos="10101" w:val="right" w:leader="dot"/>
            </w:tabs>
          </w:pPr>
          <w:hyperlink w:history="true" w:anchor="_TOC_250007">
            <w:r>
              <w:rPr>
                <w:color w:val="231F20"/>
              </w:rPr>
              <w:t>Individual</w:t>
            </w:r>
            <w:r>
              <w:rPr>
                <w:color w:val="231F20"/>
                <w:spacing w:val="-2"/>
              </w:rPr>
              <w:t> </w:t>
            </w:r>
            <w:r>
              <w:rPr>
                <w:color w:val="231F20"/>
              </w:rPr>
              <w:t>Advocacy</w:t>
              <w:tab/>
              <w:t>12</w:t>
            </w:r>
          </w:hyperlink>
        </w:p>
        <w:p>
          <w:pPr>
            <w:pStyle w:val="TOC1"/>
            <w:tabs>
              <w:tab w:pos="10101" w:val="right" w:leader="dot"/>
            </w:tabs>
          </w:pPr>
          <w:hyperlink w:history="true" w:anchor="_TOC_250006">
            <w:r>
              <w:rPr>
                <w:color w:val="231F20"/>
              </w:rPr>
              <w:t>Information, Communication and</w:t>
            </w:r>
            <w:r>
              <w:rPr>
                <w:color w:val="231F20"/>
                <w:spacing w:val="-5"/>
              </w:rPr>
              <w:t> </w:t>
            </w:r>
            <w:r>
              <w:rPr>
                <w:color w:val="231F20"/>
              </w:rPr>
              <w:t>social</w:t>
            </w:r>
            <w:r>
              <w:rPr>
                <w:color w:val="231F20"/>
                <w:spacing w:val="-3"/>
              </w:rPr>
              <w:t> </w:t>
            </w:r>
            <w:r>
              <w:rPr>
                <w:color w:val="231F20"/>
              </w:rPr>
              <w:t>media</w:t>
              <w:tab/>
              <w:t>20</w:t>
            </w:r>
          </w:hyperlink>
        </w:p>
        <w:p>
          <w:pPr>
            <w:pStyle w:val="TOC1"/>
            <w:tabs>
              <w:tab w:pos="10101" w:val="right" w:leader="dot"/>
            </w:tabs>
            <w:spacing w:before="141"/>
          </w:pPr>
          <w:hyperlink w:history="true" w:anchor="_TOC_250005">
            <w:r>
              <w:rPr>
                <w:color w:val="231F20"/>
              </w:rPr>
              <w:t>Self Advocacy</w:t>
            </w:r>
            <w:r>
              <w:rPr>
                <w:color w:val="231F20"/>
                <w:spacing w:val="-6"/>
              </w:rPr>
              <w:t> </w:t>
            </w:r>
            <w:r>
              <w:rPr>
                <w:color w:val="231F20"/>
                <w:spacing w:val="2"/>
              </w:rPr>
              <w:t>WA</w:t>
            </w:r>
            <w:r>
              <w:rPr>
                <w:color w:val="231F20"/>
                <w:spacing w:val="-3"/>
              </w:rPr>
              <w:t> </w:t>
            </w:r>
            <w:r>
              <w:rPr>
                <w:color w:val="231F20"/>
              </w:rPr>
              <w:t>(SAWA)</w:t>
              <w:tab/>
              <w:t>20</w:t>
            </w:r>
          </w:hyperlink>
        </w:p>
        <w:p>
          <w:pPr>
            <w:pStyle w:val="TOC1"/>
            <w:tabs>
              <w:tab w:pos="10101" w:val="right" w:leader="dot"/>
            </w:tabs>
          </w:pPr>
          <w:hyperlink w:history="true" w:anchor="_TOC_250004">
            <w:r>
              <w:rPr>
                <w:color w:val="231F20"/>
              </w:rPr>
              <w:t>Projects</w:t>
              <w:tab/>
              <w:t>21</w:t>
            </w:r>
          </w:hyperlink>
        </w:p>
        <w:p>
          <w:pPr>
            <w:pStyle w:val="TOC1"/>
            <w:tabs>
              <w:tab w:pos="10101" w:val="right" w:leader="dot"/>
            </w:tabs>
          </w:pPr>
          <w:hyperlink w:history="true" w:anchor="_TOC_250003">
            <w:r>
              <w:rPr>
                <w:color w:val="231F20"/>
              </w:rPr>
              <w:t>Systemic</w:t>
            </w:r>
            <w:r>
              <w:rPr>
                <w:color w:val="231F20"/>
                <w:spacing w:val="-2"/>
              </w:rPr>
              <w:t> </w:t>
            </w:r>
            <w:r>
              <w:rPr>
                <w:color w:val="231F20"/>
              </w:rPr>
              <w:t>advocacy</w:t>
              <w:tab/>
              <w:t>23</w:t>
            </w:r>
          </w:hyperlink>
        </w:p>
        <w:p>
          <w:pPr>
            <w:pStyle w:val="TOC1"/>
            <w:tabs>
              <w:tab w:pos="10101" w:val="right" w:leader="dot"/>
            </w:tabs>
            <w:spacing w:before="141"/>
          </w:pPr>
          <w:hyperlink w:history="true" w:anchor="_TOC_250002">
            <w:r>
              <w:rPr>
                <w:color w:val="231F20"/>
              </w:rPr>
              <w:t>Submissions</w:t>
              <w:tab/>
              <w:t>27</w:t>
            </w:r>
          </w:hyperlink>
        </w:p>
        <w:p>
          <w:pPr>
            <w:pStyle w:val="TOC1"/>
            <w:tabs>
              <w:tab w:pos="10101" w:val="right" w:leader="dot"/>
            </w:tabs>
          </w:pPr>
          <w:hyperlink w:history="true" w:anchor="_TOC_250001">
            <w:r>
              <w:rPr>
                <w:color w:val="231F20"/>
              </w:rPr>
              <w:t>Representation</w:t>
            </w:r>
            <w:r>
              <w:rPr>
                <w:color w:val="231F20"/>
                <w:spacing w:val="-1"/>
              </w:rPr>
              <w:t> </w:t>
            </w:r>
            <w:r>
              <w:rPr>
                <w:color w:val="231F20"/>
              </w:rPr>
              <w:t>and</w:t>
            </w:r>
            <w:r>
              <w:rPr>
                <w:color w:val="231F20"/>
                <w:spacing w:val="-3"/>
              </w:rPr>
              <w:t> </w:t>
            </w:r>
            <w:r>
              <w:rPr>
                <w:color w:val="231F20"/>
              </w:rPr>
              <w:t>participation</w:t>
              <w:tab/>
              <w:t>28</w:t>
            </w:r>
          </w:hyperlink>
        </w:p>
        <w:p>
          <w:pPr>
            <w:pStyle w:val="TOC1"/>
            <w:tabs>
              <w:tab w:pos="10101" w:val="right" w:leader="dot"/>
            </w:tabs>
          </w:pPr>
          <w:hyperlink w:history="true" w:anchor="_TOC_250000">
            <w:r>
              <w:rPr>
                <w:color w:val="231F20"/>
              </w:rPr>
              <w:t>Community Education</w:t>
            </w:r>
            <w:r>
              <w:rPr>
                <w:color w:val="231F20"/>
                <w:spacing w:val="-6"/>
              </w:rPr>
              <w:t> </w:t>
            </w:r>
            <w:r>
              <w:rPr>
                <w:color w:val="231F20"/>
              </w:rPr>
              <w:t>&amp;</w:t>
            </w:r>
            <w:r>
              <w:rPr>
                <w:color w:val="231F20"/>
                <w:spacing w:val="-1"/>
              </w:rPr>
              <w:t> </w:t>
            </w:r>
            <w:r>
              <w:rPr>
                <w:color w:val="231F20"/>
              </w:rPr>
              <w:t>Promotion</w:t>
              <w:tab/>
              <w:t>29</w:t>
            </w:r>
          </w:hyperlink>
        </w:p>
        <w:p>
          <w:pPr>
            <w:spacing w:line="141" w:lineRule="exact"/>
            <w:rPr>
              <w:sz w:val="14"/>
            </w:rPr>
          </w:pPr>
          <w:r>
            <w:fldChar w:fldCharType="end"/>
          </w:r>
        </w:p>
      </w:sdtContent>
    </w:sdt>
    <w:p>
      <w:pPr>
        <w:pStyle w:val="BodyText"/>
        <w:ind w:left="1440"/>
      </w:pPr>
      <w:r>
        <w:rPr>
          <w:color w:val="231F20"/>
        </w:rPr>
        <w:t>PWdWA Audit Report and Audited statements 2014-2015 .....................................</w:t>
      </w:r>
    </w:p>
    <w:p>
      <w:pPr>
        <w:pStyle w:val="BodyText"/>
        <w:rPr>
          <w:sz w:val="20"/>
        </w:rPr>
      </w:pPr>
    </w:p>
    <w:p>
      <w:pPr>
        <w:pStyle w:val="BodyText"/>
        <w:rPr>
          <w:sz w:val="20"/>
        </w:rPr>
      </w:pPr>
    </w:p>
    <w:p>
      <w:pPr>
        <w:pStyle w:val="BodyText"/>
        <w:spacing w:before="1"/>
        <w:rPr>
          <w:sz w:val="14"/>
        </w:rPr>
      </w:pPr>
      <w:r>
        <w:rPr/>
        <w:drawing>
          <wp:anchor distT="0" distB="0" distL="0" distR="0" allowOverlap="1" layoutInCell="1" locked="0" behindDoc="0" simplePos="0" relativeHeight="1120">
            <wp:simplePos x="0" y="0"/>
            <wp:positionH relativeFrom="page">
              <wp:posOffset>2990710</wp:posOffset>
            </wp:positionH>
            <wp:positionV relativeFrom="paragraph">
              <wp:posOffset>127828</wp:posOffset>
            </wp:positionV>
            <wp:extent cx="1344168" cy="1872233"/>
            <wp:effectExtent l="0" t="0" r="0" b="0"/>
            <wp:wrapTopAndBottom/>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2" cstate="print"/>
                    <a:stretch>
                      <a:fillRect/>
                    </a:stretch>
                  </pic:blipFill>
                  <pic:spPr>
                    <a:xfrm>
                      <a:off x="0" y="0"/>
                      <a:ext cx="1344168" cy="1872233"/>
                    </a:xfrm>
                    <a:prstGeom prst="rect">
                      <a:avLst/>
                    </a:prstGeom>
                  </pic:spPr>
                </pic:pic>
              </a:graphicData>
            </a:graphic>
          </wp:anchor>
        </w:drawing>
      </w:r>
    </w:p>
    <w:p>
      <w:pPr>
        <w:spacing w:after="0"/>
        <w:rPr>
          <w:sz w:val="14"/>
        </w:rPr>
        <w:sectPr>
          <w:headerReference w:type="default" r:id="rId10"/>
          <w:footerReference w:type="default" r:id="rId11"/>
          <w:pgSz w:w="11910" w:h="16840"/>
          <w:pgMar w:header="0" w:footer="1287" w:top="1000" w:bottom="148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rPr>
          <w:sz w:val="20"/>
        </w:rPr>
      </w:pPr>
    </w:p>
    <w:p>
      <w:pPr>
        <w:pStyle w:val="BodyText"/>
        <w:spacing w:before="10"/>
        <w:rPr>
          <w:sz w:val="12"/>
        </w:rPr>
      </w:pPr>
      <w:r>
        <w:rPr/>
        <w:drawing>
          <wp:anchor distT="0" distB="0" distL="0" distR="0" allowOverlap="1" layoutInCell="1" locked="0" behindDoc="0" simplePos="0" relativeHeight="1168">
            <wp:simplePos x="0" y="0"/>
            <wp:positionH relativeFrom="page">
              <wp:posOffset>1143000</wp:posOffset>
            </wp:positionH>
            <wp:positionV relativeFrom="paragraph">
              <wp:posOffset>119165</wp:posOffset>
            </wp:positionV>
            <wp:extent cx="5482185" cy="1064132"/>
            <wp:effectExtent l="0" t="0" r="0" b="0"/>
            <wp:wrapTopAndBottom/>
            <wp:docPr id="3" name="image11.jpeg" descr=""/>
            <wp:cNvGraphicFramePr>
              <a:graphicFrameLocks noChangeAspect="1"/>
            </wp:cNvGraphicFramePr>
            <a:graphic>
              <a:graphicData uri="http://schemas.openxmlformats.org/drawingml/2006/picture">
                <pic:pic>
                  <pic:nvPicPr>
                    <pic:cNvPr id="4" name="image11.jpeg"/>
                    <pic:cNvPicPr/>
                  </pic:nvPicPr>
                  <pic:blipFill>
                    <a:blip r:embed="rId15" cstate="print"/>
                    <a:stretch>
                      <a:fillRect/>
                    </a:stretch>
                  </pic:blipFill>
                  <pic:spPr>
                    <a:xfrm>
                      <a:off x="0" y="0"/>
                      <a:ext cx="5482185" cy="1064132"/>
                    </a:xfrm>
                    <a:prstGeom prst="rect">
                      <a:avLst/>
                    </a:prstGeom>
                  </pic:spPr>
                </pic:pic>
              </a:graphicData>
            </a:graphic>
          </wp:anchor>
        </w:drawing>
      </w:r>
    </w:p>
    <w:p>
      <w:pPr>
        <w:pStyle w:val="BodyText"/>
        <w:spacing w:before="2"/>
        <w:rPr>
          <w:sz w:val="19"/>
        </w:rPr>
      </w:pPr>
    </w:p>
    <w:p>
      <w:pPr>
        <w:pStyle w:val="Heading1"/>
      </w:pPr>
      <w:bookmarkStart w:name="_TOC_250016" w:id="1"/>
      <w:bookmarkEnd w:id="1"/>
      <w:r>
        <w:rPr>
          <w:color w:val="231F20"/>
        </w:rPr>
        <w:t>Our Vision</w:t>
      </w:r>
    </w:p>
    <w:p>
      <w:pPr>
        <w:pStyle w:val="BodyText"/>
        <w:spacing w:before="88"/>
        <w:ind w:left="1800"/>
      </w:pPr>
      <w:r>
        <w:rPr>
          <w:color w:val="2F353B"/>
        </w:rPr>
        <w:t>People with disability are equal and valued citizens.</w:t>
      </w:r>
    </w:p>
    <w:p>
      <w:pPr>
        <w:pStyle w:val="BodyText"/>
        <w:spacing w:before="11"/>
        <w:rPr>
          <w:sz w:val="25"/>
        </w:rPr>
      </w:pPr>
    </w:p>
    <w:p>
      <w:pPr>
        <w:pStyle w:val="Heading1"/>
        <w:spacing w:before="0"/>
      </w:pPr>
      <w:bookmarkStart w:name="_TOC_250015" w:id="2"/>
      <w:bookmarkEnd w:id="2"/>
      <w:r>
        <w:rPr>
          <w:color w:val="231F20"/>
        </w:rPr>
        <w:t>Our Mission</w:t>
      </w:r>
    </w:p>
    <w:p>
      <w:pPr>
        <w:pStyle w:val="BodyText"/>
        <w:spacing w:before="90"/>
        <w:ind w:left="1800" w:right="1215"/>
      </w:pPr>
      <w:r>
        <w:rPr>
          <w:color w:val="2F353B"/>
        </w:rPr>
        <w:t>Advocating for the rights and empowering the voices of people with disability in WA</w:t>
      </w:r>
    </w:p>
    <w:p>
      <w:pPr>
        <w:pStyle w:val="BodyText"/>
        <w:rPr>
          <w:sz w:val="26"/>
        </w:rPr>
      </w:pPr>
    </w:p>
    <w:p>
      <w:pPr>
        <w:pStyle w:val="Heading1"/>
        <w:spacing w:before="0"/>
      </w:pPr>
      <w:bookmarkStart w:name="_TOC_250014" w:id="3"/>
      <w:bookmarkEnd w:id="3"/>
      <w:r>
        <w:rPr>
          <w:color w:val="231F20"/>
        </w:rPr>
        <w:t>We value</w:t>
      </w:r>
    </w:p>
    <w:p>
      <w:pPr>
        <w:pStyle w:val="BodyText"/>
        <w:spacing w:before="90"/>
        <w:ind w:left="1800"/>
      </w:pPr>
      <w:r>
        <w:rPr>
          <w:color w:val="2F353B"/>
        </w:rPr>
        <w:t>Human rights</w:t>
      </w:r>
    </w:p>
    <w:p>
      <w:pPr>
        <w:pStyle w:val="BodyText"/>
        <w:ind w:left="1800"/>
      </w:pPr>
      <w:r>
        <w:rPr>
          <w:color w:val="2F353B"/>
        </w:rPr>
        <w:t>The voices and unique experiences of people with disabilities</w:t>
      </w:r>
    </w:p>
    <w:p>
      <w:pPr>
        <w:pStyle w:val="BodyText"/>
        <w:spacing w:before="11"/>
        <w:rPr>
          <w:sz w:val="25"/>
        </w:rPr>
      </w:pPr>
    </w:p>
    <w:p>
      <w:pPr>
        <w:pStyle w:val="Heading1"/>
        <w:spacing w:before="0"/>
      </w:pPr>
      <w:bookmarkStart w:name="_TOC_250013" w:id="4"/>
      <w:bookmarkEnd w:id="4"/>
      <w:r>
        <w:rPr>
          <w:color w:val="231F20"/>
        </w:rPr>
        <w:t>Guiding principles</w:t>
      </w:r>
    </w:p>
    <w:p>
      <w:pPr>
        <w:pStyle w:val="BodyText"/>
        <w:spacing w:before="9"/>
        <w:rPr>
          <w:b/>
          <w:sz w:val="31"/>
        </w:rPr>
      </w:pPr>
    </w:p>
    <w:p>
      <w:pPr>
        <w:pStyle w:val="BodyText"/>
        <w:ind w:left="1800"/>
      </w:pPr>
      <w:r>
        <w:rPr>
          <w:color w:val="2F353B"/>
        </w:rPr>
        <w:t>We will:</w:t>
      </w:r>
    </w:p>
    <w:p>
      <w:pPr>
        <w:pStyle w:val="ListParagraph"/>
        <w:numPr>
          <w:ilvl w:val="0"/>
          <w:numId w:val="1"/>
        </w:numPr>
        <w:tabs>
          <w:tab w:pos="2520" w:val="left" w:leader="none"/>
          <w:tab w:pos="2521" w:val="left" w:leader="none"/>
        </w:tabs>
        <w:spacing w:line="240" w:lineRule="auto" w:before="1" w:after="0"/>
        <w:ind w:left="2520" w:right="1225" w:hanging="360"/>
        <w:jc w:val="left"/>
        <w:rPr>
          <w:rFonts w:ascii="Symbol"/>
          <w:color w:val="2F353B"/>
          <w:sz w:val="24"/>
        </w:rPr>
      </w:pPr>
      <w:r>
        <w:rPr>
          <w:color w:val="2F353B"/>
          <w:sz w:val="24"/>
        </w:rPr>
        <w:t>Be passionate, innovative and fearless in defending and promoting the rights and interests of people with</w:t>
      </w:r>
      <w:r>
        <w:rPr>
          <w:color w:val="2F353B"/>
          <w:spacing w:val="-5"/>
          <w:sz w:val="24"/>
        </w:rPr>
        <w:t> </w:t>
      </w:r>
      <w:r>
        <w:rPr>
          <w:color w:val="2F353B"/>
          <w:sz w:val="24"/>
        </w:rPr>
        <w:t>disability.</w:t>
      </w:r>
    </w:p>
    <w:p>
      <w:pPr>
        <w:pStyle w:val="ListParagraph"/>
        <w:numPr>
          <w:ilvl w:val="0"/>
          <w:numId w:val="1"/>
        </w:numPr>
        <w:tabs>
          <w:tab w:pos="2520" w:val="left" w:leader="none"/>
          <w:tab w:pos="2521" w:val="left" w:leader="none"/>
        </w:tabs>
        <w:spacing w:line="291" w:lineRule="exact" w:before="0" w:after="0"/>
        <w:ind w:left="2520" w:right="0" w:hanging="360"/>
        <w:jc w:val="left"/>
        <w:rPr>
          <w:rFonts w:ascii="Symbol"/>
          <w:color w:val="2F353B"/>
          <w:sz w:val="24"/>
        </w:rPr>
      </w:pPr>
      <w:r>
        <w:rPr>
          <w:color w:val="2F353B"/>
          <w:sz w:val="24"/>
        </w:rPr>
        <w:t>Be accessible, responsive to and inclusive of our diverse</w:t>
      </w:r>
      <w:r>
        <w:rPr>
          <w:color w:val="2F353B"/>
          <w:spacing w:val="-10"/>
          <w:sz w:val="24"/>
        </w:rPr>
        <w:t> </w:t>
      </w:r>
      <w:r>
        <w:rPr>
          <w:color w:val="2F353B"/>
          <w:sz w:val="24"/>
        </w:rPr>
        <w:t>community.</w:t>
      </w:r>
    </w:p>
    <w:p>
      <w:pPr>
        <w:pStyle w:val="ListParagraph"/>
        <w:numPr>
          <w:ilvl w:val="0"/>
          <w:numId w:val="1"/>
        </w:numPr>
        <w:tabs>
          <w:tab w:pos="2520" w:val="left" w:leader="none"/>
          <w:tab w:pos="2521" w:val="left" w:leader="none"/>
        </w:tabs>
        <w:spacing w:line="240" w:lineRule="auto" w:before="0" w:after="0"/>
        <w:ind w:left="2520" w:right="1224" w:hanging="360"/>
        <w:jc w:val="left"/>
        <w:rPr>
          <w:rFonts w:ascii="Symbol"/>
          <w:color w:val="231F20"/>
          <w:sz w:val="24"/>
        </w:rPr>
      </w:pPr>
      <w:r>
        <w:rPr>
          <w:color w:val="2F353B"/>
          <w:sz w:val="24"/>
        </w:rPr>
        <w:t>Be mindful, flexible, agile, responsive and innovative in a rapidly changing</w:t>
      </w:r>
      <w:r>
        <w:rPr>
          <w:color w:val="231F20"/>
          <w:sz w:val="24"/>
        </w:rPr>
        <w:t> sector and</w:t>
      </w:r>
      <w:r>
        <w:rPr>
          <w:color w:val="231F20"/>
          <w:spacing w:val="-1"/>
          <w:sz w:val="24"/>
        </w:rPr>
        <w:t> </w:t>
      </w:r>
      <w:r>
        <w:rPr>
          <w:color w:val="231F20"/>
          <w:sz w:val="24"/>
        </w:rPr>
        <w:t>world.</w:t>
      </w:r>
    </w:p>
    <w:p>
      <w:pPr>
        <w:pStyle w:val="ListParagraph"/>
        <w:numPr>
          <w:ilvl w:val="0"/>
          <w:numId w:val="1"/>
        </w:numPr>
        <w:tabs>
          <w:tab w:pos="2520" w:val="left" w:leader="none"/>
          <w:tab w:pos="2521" w:val="left" w:leader="none"/>
        </w:tabs>
        <w:spacing w:line="240" w:lineRule="auto" w:before="0" w:after="0"/>
        <w:ind w:left="2520" w:right="1225" w:hanging="360"/>
        <w:jc w:val="left"/>
        <w:rPr>
          <w:rFonts w:ascii="Symbol"/>
          <w:color w:val="2F353B"/>
          <w:sz w:val="24"/>
        </w:rPr>
      </w:pPr>
      <w:r>
        <w:rPr>
          <w:color w:val="2F353B"/>
          <w:sz w:val="24"/>
        </w:rPr>
        <w:t>Value and facilitate the involvement of people with disability in our governance and</w:t>
      </w:r>
      <w:r>
        <w:rPr>
          <w:color w:val="2F353B"/>
          <w:spacing w:val="-3"/>
          <w:sz w:val="24"/>
        </w:rPr>
        <w:t> </w:t>
      </w:r>
      <w:r>
        <w:rPr>
          <w:color w:val="2F353B"/>
          <w:sz w:val="24"/>
        </w:rPr>
        <w:t>management.</w:t>
      </w:r>
    </w:p>
    <w:p>
      <w:pPr>
        <w:pStyle w:val="ListParagraph"/>
        <w:numPr>
          <w:ilvl w:val="0"/>
          <w:numId w:val="1"/>
        </w:numPr>
        <w:tabs>
          <w:tab w:pos="2520" w:val="left" w:leader="none"/>
          <w:tab w:pos="2521" w:val="left" w:leader="none"/>
        </w:tabs>
        <w:spacing w:line="292" w:lineRule="exact" w:before="0" w:after="0"/>
        <w:ind w:left="2520" w:right="0" w:hanging="360"/>
        <w:jc w:val="left"/>
        <w:rPr>
          <w:rFonts w:ascii="Symbol"/>
          <w:color w:val="2F353B"/>
          <w:sz w:val="24"/>
        </w:rPr>
      </w:pPr>
      <w:r>
        <w:rPr>
          <w:color w:val="2F353B"/>
          <w:sz w:val="24"/>
        </w:rPr>
        <w:t>Collaborate with the disability and mental health</w:t>
      </w:r>
      <w:r>
        <w:rPr>
          <w:color w:val="2F353B"/>
          <w:spacing w:val="-11"/>
          <w:sz w:val="24"/>
        </w:rPr>
        <w:t> </w:t>
      </w:r>
      <w:r>
        <w:rPr>
          <w:color w:val="2F353B"/>
          <w:sz w:val="24"/>
        </w:rPr>
        <w:t>sector.</w:t>
      </w:r>
    </w:p>
    <w:p>
      <w:pPr>
        <w:pStyle w:val="ListParagraph"/>
        <w:numPr>
          <w:ilvl w:val="0"/>
          <w:numId w:val="1"/>
        </w:numPr>
        <w:tabs>
          <w:tab w:pos="2520" w:val="left" w:leader="none"/>
          <w:tab w:pos="2521" w:val="left" w:leader="none"/>
          <w:tab w:pos="3752" w:val="left" w:leader="none"/>
          <w:tab w:pos="5179" w:val="left" w:leader="none"/>
          <w:tab w:pos="6851" w:val="left" w:leader="none"/>
          <w:tab w:pos="7599" w:val="left" w:leader="none"/>
          <w:tab w:pos="8935" w:val="left" w:leader="none"/>
          <w:tab w:pos="9659" w:val="left" w:leader="none"/>
        </w:tabs>
        <w:spacing w:line="235" w:lineRule="auto" w:before="2" w:after="0"/>
        <w:ind w:left="2520" w:right="1224" w:hanging="360"/>
        <w:jc w:val="left"/>
        <w:rPr>
          <w:rFonts w:ascii="Symbol"/>
          <w:color w:val="2F353B"/>
          <w:sz w:val="24"/>
        </w:rPr>
      </w:pPr>
      <w:r>
        <w:rPr>
          <w:color w:val="2F353B"/>
          <w:sz w:val="24"/>
        </w:rPr>
        <w:t>Maintain</w:t>
        <w:tab/>
        <w:t>supportive</w:t>
        <w:tab/>
        <w:t>relationships</w:t>
        <w:tab/>
        <w:t>with</w:t>
        <w:tab/>
        <w:t>advocacy</w:t>
        <w:tab/>
        <w:t>and</w:t>
        <w:tab/>
        <w:t>support organisations.</w:t>
      </w:r>
    </w:p>
    <w:p>
      <w:pPr>
        <w:pStyle w:val="ListParagraph"/>
        <w:numPr>
          <w:ilvl w:val="0"/>
          <w:numId w:val="1"/>
        </w:numPr>
        <w:tabs>
          <w:tab w:pos="2520" w:val="left" w:leader="none"/>
          <w:tab w:pos="2521" w:val="left" w:leader="none"/>
        </w:tabs>
        <w:spacing w:line="293" w:lineRule="exact" w:before="3" w:after="0"/>
        <w:ind w:left="2520" w:right="0" w:hanging="360"/>
        <w:jc w:val="left"/>
        <w:rPr>
          <w:rFonts w:ascii="Symbol"/>
          <w:color w:val="2F353B"/>
          <w:sz w:val="24"/>
        </w:rPr>
      </w:pPr>
      <w:r>
        <w:rPr>
          <w:color w:val="2F353B"/>
          <w:sz w:val="24"/>
        </w:rPr>
        <w:t>Be transparent and accountable in everything we</w:t>
      </w:r>
      <w:r>
        <w:rPr>
          <w:color w:val="2F353B"/>
          <w:spacing w:val="-6"/>
          <w:sz w:val="24"/>
        </w:rPr>
        <w:t> </w:t>
      </w:r>
      <w:r>
        <w:rPr>
          <w:color w:val="2F353B"/>
          <w:sz w:val="24"/>
        </w:rPr>
        <w:t>do.</w:t>
      </w:r>
    </w:p>
    <w:p>
      <w:pPr>
        <w:pStyle w:val="ListParagraph"/>
        <w:numPr>
          <w:ilvl w:val="0"/>
          <w:numId w:val="1"/>
        </w:numPr>
        <w:tabs>
          <w:tab w:pos="2520" w:val="left" w:leader="none"/>
          <w:tab w:pos="2521" w:val="left" w:leader="none"/>
        </w:tabs>
        <w:spacing w:line="293" w:lineRule="exact" w:before="0" w:after="0"/>
        <w:ind w:left="2520" w:right="0" w:hanging="360"/>
        <w:jc w:val="left"/>
        <w:rPr>
          <w:rFonts w:ascii="Symbol"/>
          <w:color w:val="2F353B"/>
          <w:sz w:val="24"/>
        </w:rPr>
      </w:pPr>
      <w:r>
        <w:rPr>
          <w:color w:val="2F353B"/>
          <w:sz w:val="24"/>
        </w:rPr>
        <w:t>Act with honesty and</w:t>
      </w:r>
      <w:r>
        <w:rPr>
          <w:color w:val="2F353B"/>
          <w:spacing w:val="-3"/>
          <w:sz w:val="24"/>
        </w:rPr>
        <w:t> </w:t>
      </w:r>
      <w:r>
        <w:rPr>
          <w:color w:val="2F353B"/>
          <w:sz w:val="24"/>
        </w:rPr>
        <w:t>integrity.</w:t>
      </w:r>
    </w:p>
    <w:p>
      <w:pPr>
        <w:pStyle w:val="ListParagraph"/>
        <w:numPr>
          <w:ilvl w:val="0"/>
          <w:numId w:val="1"/>
        </w:numPr>
        <w:tabs>
          <w:tab w:pos="2520" w:val="left" w:leader="none"/>
          <w:tab w:pos="2521" w:val="left" w:leader="none"/>
        </w:tabs>
        <w:spacing w:line="235" w:lineRule="auto" w:before="4" w:after="0"/>
        <w:ind w:left="2520" w:right="1218" w:hanging="360"/>
        <w:jc w:val="left"/>
        <w:rPr>
          <w:rFonts w:ascii="Symbol"/>
          <w:color w:val="2F353B"/>
          <w:sz w:val="24"/>
        </w:rPr>
      </w:pPr>
      <w:r>
        <w:rPr>
          <w:color w:val="2F353B"/>
          <w:sz w:val="24"/>
        </w:rPr>
        <w:t>Be resourceful and efficient regarding the resources we need to do our work.</w:t>
      </w:r>
    </w:p>
    <w:p>
      <w:pPr>
        <w:pStyle w:val="ListParagraph"/>
        <w:numPr>
          <w:ilvl w:val="0"/>
          <w:numId w:val="1"/>
        </w:numPr>
        <w:tabs>
          <w:tab w:pos="2520" w:val="left" w:leader="none"/>
          <w:tab w:pos="2521" w:val="left" w:leader="none"/>
        </w:tabs>
        <w:spacing w:line="240" w:lineRule="auto" w:before="3" w:after="0"/>
        <w:ind w:left="2520" w:right="1226" w:hanging="360"/>
        <w:jc w:val="left"/>
        <w:rPr>
          <w:rFonts w:ascii="Symbol"/>
          <w:color w:val="2F353B"/>
          <w:sz w:val="24"/>
        </w:rPr>
      </w:pPr>
      <w:r>
        <w:rPr>
          <w:color w:val="2F353B"/>
          <w:sz w:val="24"/>
        </w:rPr>
        <w:t>Recognise and value everyone who works with us to achieve our vision, including our committee, staff and</w:t>
      </w:r>
      <w:r>
        <w:rPr>
          <w:color w:val="2F353B"/>
          <w:spacing w:val="-3"/>
          <w:sz w:val="24"/>
        </w:rPr>
        <w:t> </w:t>
      </w:r>
      <w:r>
        <w:rPr>
          <w:color w:val="2F353B"/>
          <w:sz w:val="24"/>
        </w:rPr>
        <w:t>volunteers.</w:t>
      </w:r>
    </w:p>
    <w:p>
      <w:pPr>
        <w:pStyle w:val="BodyText"/>
        <w:rPr>
          <w:sz w:val="26"/>
        </w:rPr>
      </w:pPr>
    </w:p>
    <w:p>
      <w:pPr>
        <w:pStyle w:val="BodyText"/>
        <w:rPr>
          <w:sz w:val="26"/>
        </w:rPr>
      </w:pPr>
    </w:p>
    <w:p>
      <w:pPr>
        <w:pStyle w:val="BodyText"/>
        <w:rPr>
          <w:sz w:val="38"/>
        </w:rPr>
      </w:pPr>
    </w:p>
    <w:p>
      <w:pPr>
        <w:pStyle w:val="Heading3"/>
        <w:spacing w:line="278" w:lineRule="auto" w:before="1"/>
        <w:ind w:left="1800" w:right="1215"/>
      </w:pPr>
      <w:r>
        <w:rPr>
          <w:color w:val="231F20"/>
        </w:rPr>
        <w:t>PWdWA is funded by the Disability Services Commission WA (DSC) and the Department of Social Services (DSS)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pStyle w:val="BodyText"/>
        <w:ind w:left="2546"/>
      </w:pPr>
      <w:r>
        <w:rPr>
          <w:color w:val="44536A"/>
        </w:rPr>
        <w:t>Annual Report 2014 – 2015</w:t>
      </w:r>
    </w:p>
    <w:p>
      <w:pPr>
        <w:pStyle w:val="BodyText"/>
        <w:spacing w:before="26"/>
        <w:ind w:right="1214"/>
        <w:jc w:val="right"/>
      </w:pPr>
      <w:r>
        <w:rPr>
          <w:color w:val="44536A"/>
        </w:rPr>
        <w:t>Page 3</w:t>
      </w:r>
    </w:p>
    <w:p>
      <w:pPr>
        <w:spacing w:after="0"/>
        <w:jc w:val="right"/>
        <w:sectPr>
          <w:headerReference w:type="default" r:id="rId13"/>
          <w:footerReference w:type="default" r:id="rId14"/>
          <w:pgSz w:w="11910" w:h="16840"/>
          <w:pgMar w:header="0" w:footer="524" w:top="960" w:bottom="720" w:left="0" w:right="220"/>
        </w:sectPr>
      </w:pPr>
    </w:p>
    <w:p>
      <w:pPr>
        <w:pStyle w:val="BodyText"/>
        <w:rPr>
          <w:sz w:val="20"/>
        </w:rPr>
      </w:pPr>
    </w:p>
    <w:p>
      <w:pPr>
        <w:pStyle w:val="BodyText"/>
        <w:spacing w:before="5"/>
        <w:rPr>
          <w:sz w:val="17"/>
        </w:rPr>
      </w:pPr>
    </w:p>
    <w:p>
      <w:pPr>
        <w:pStyle w:val="Heading1"/>
        <w:spacing w:before="91"/>
        <w:ind w:left="1440"/>
        <w:jc w:val="both"/>
      </w:pPr>
      <w:r>
        <w:rPr/>
        <w:drawing>
          <wp:anchor distT="0" distB="0" distL="0" distR="0" allowOverlap="1" layoutInCell="1" locked="0" behindDoc="0" simplePos="0" relativeHeight="1192">
            <wp:simplePos x="0" y="0"/>
            <wp:positionH relativeFrom="page">
              <wp:posOffset>4520184</wp:posOffset>
            </wp:positionH>
            <wp:positionV relativeFrom="paragraph">
              <wp:posOffset>-168632</wp:posOffset>
            </wp:positionV>
            <wp:extent cx="1789176" cy="2318004"/>
            <wp:effectExtent l="0" t="0" r="0" b="0"/>
            <wp:wrapNone/>
            <wp:docPr id="5" name="image12.jpeg" descr=""/>
            <wp:cNvGraphicFramePr>
              <a:graphicFrameLocks noChangeAspect="1"/>
            </wp:cNvGraphicFramePr>
            <a:graphic>
              <a:graphicData uri="http://schemas.openxmlformats.org/drawingml/2006/picture">
                <pic:pic>
                  <pic:nvPicPr>
                    <pic:cNvPr id="6" name="image12.jpeg"/>
                    <pic:cNvPicPr/>
                  </pic:nvPicPr>
                  <pic:blipFill>
                    <a:blip r:embed="rId17" cstate="print"/>
                    <a:stretch>
                      <a:fillRect/>
                    </a:stretch>
                  </pic:blipFill>
                  <pic:spPr>
                    <a:xfrm>
                      <a:off x="0" y="0"/>
                      <a:ext cx="1789176" cy="2318004"/>
                    </a:xfrm>
                    <a:prstGeom prst="rect">
                      <a:avLst/>
                    </a:prstGeom>
                  </pic:spPr>
                </pic:pic>
              </a:graphicData>
            </a:graphic>
          </wp:anchor>
        </w:drawing>
      </w:r>
      <w:bookmarkStart w:name="_TOC_250012" w:id="5"/>
      <w:bookmarkEnd w:id="5"/>
      <w:r>
        <w:rPr>
          <w:color w:val="231F20"/>
        </w:rPr>
        <w:t>PWdWA Presidents Report</w:t>
      </w:r>
    </w:p>
    <w:p>
      <w:pPr>
        <w:pStyle w:val="BodyText"/>
        <w:spacing w:line="276" w:lineRule="auto" w:before="93"/>
        <w:ind w:left="1440" w:right="4855"/>
        <w:jc w:val="both"/>
      </w:pPr>
      <w:r>
        <w:rPr>
          <w:color w:val="231F20"/>
        </w:rPr>
        <w:t>At the end of my 2nd year as President I remain proud to be part of an inclusive organisation with an embedded culture of rights for people with a disability at its heart. The work undertaken by the PWdWA Committee of Management, employees and volunteers is extensive and I hope to provide an impression of that work in this report.</w:t>
      </w:r>
    </w:p>
    <w:p>
      <w:pPr>
        <w:pStyle w:val="BodyText"/>
        <w:spacing w:line="276" w:lineRule="auto" w:before="200"/>
        <w:ind w:left="1440" w:right="4860"/>
        <w:jc w:val="both"/>
      </w:pPr>
      <w:r>
        <w:rPr>
          <w:color w:val="231F20"/>
        </w:rPr>
        <w:t>Since my report last year we have been fortunate to bring on board a new Executive Director,</w:t>
      </w:r>
    </w:p>
    <w:p>
      <w:pPr>
        <w:pStyle w:val="BodyText"/>
        <w:spacing w:line="276" w:lineRule="auto"/>
        <w:ind w:left="1440" w:right="1572"/>
        <w:jc w:val="both"/>
      </w:pPr>
      <w:r>
        <w:rPr>
          <w:color w:val="231F20"/>
        </w:rPr>
        <w:t>Samantha Jenkinson. With her extensive experience in the disability sector and strong management skills, Sam has lead the organisation through a process of review, leveraging the feedback from quality assurance assessments, completing significant work on improving our practises, policies and procedures, ensuring the quality of service to people with disability in WA is the very best we can provide.</w:t>
      </w:r>
    </w:p>
    <w:p>
      <w:pPr>
        <w:pStyle w:val="BodyText"/>
        <w:spacing w:line="276" w:lineRule="auto" w:before="201"/>
        <w:ind w:left="1441" w:right="1574"/>
        <w:jc w:val="both"/>
      </w:pPr>
      <w:r>
        <w:rPr>
          <w:color w:val="231F20"/>
        </w:rPr>
        <w:t>Over the past year PWdWA has continued its work of systemic and individual advocacy, information dissemination, peer support, advice to government, submission and policy development, and engagement of members and the wider disability community. That work includes the following which will be presented in more detail in later pages of this annual report;</w:t>
      </w:r>
    </w:p>
    <w:p>
      <w:pPr>
        <w:pStyle w:val="ListParagraph"/>
        <w:numPr>
          <w:ilvl w:val="0"/>
          <w:numId w:val="2"/>
        </w:numPr>
        <w:tabs>
          <w:tab w:pos="2161" w:val="left" w:leader="none"/>
          <w:tab w:pos="2162" w:val="left" w:leader="none"/>
        </w:tabs>
        <w:spacing w:line="240" w:lineRule="auto" w:before="197" w:after="0"/>
        <w:ind w:left="2162" w:right="0" w:hanging="361"/>
        <w:jc w:val="left"/>
        <w:rPr>
          <w:sz w:val="24"/>
        </w:rPr>
      </w:pPr>
      <w:r>
        <w:rPr>
          <w:color w:val="231F20"/>
          <w:sz w:val="24"/>
        </w:rPr>
        <w:t>Working alongside a Family Leadership</w:t>
      </w:r>
      <w:r>
        <w:rPr>
          <w:color w:val="231F20"/>
          <w:spacing w:val="-1"/>
          <w:sz w:val="24"/>
        </w:rPr>
        <w:t> </w:t>
      </w:r>
      <w:r>
        <w:rPr>
          <w:color w:val="231F20"/>
          <w:sz w:val="24"/>
        </w:rPr>
        <w:t>group;</w:t>
      </w:r>
    </w:p>
    <w:p>
      <w:pPr>
        <w:pStyle w:val="ListParagraph"/>
        <w:numPr>
          <w:ilvl w:val="0"/>
          <w:numId w:val="2"/>
        </w:numPr>
        <w:tabs>
          <w:tab w:pos="2161" w:val="left" w:leader="none"/>
          <w:tab w:pos="2162" w:val="left" w:leader="none"/>
        </w:tabs>
        <w:spacing w:line="240" w:lineRule="auto" w:before="39" w:after="0"/>
        <w:ind w:left="2161" w:right="0" w:hanging="360"/>
        <w:jc w:val="left"/>
        <w:rPr>
          <w:sz w:val="24"/>
        </w:rPr>
      </w:pPr>
      <w:r>
        <w:rPr>
          <w:color w:val="231F20"/>
          <w:sz w:val="24"/>
        </w:rPr>
        <w:t>Australian Housing Urban Research Institute Research</w:t>
      </w:r>
      <w:r>
        <w:rPr>
          <w:color w:val="231F20"/>
          <w:spacing w:val="-4"/>
          <w:sz w:val="24"/>
        </w:rPr>
        <w:t> </w:t>
      </w:r>
      <w:r>
        <w:rPr>
          <w:color w:val="231F20"/>
          <w:sz w:val="24"/>
        </w:rPr>
        <w:t>Project;</w:t>
      </w:r>
    </w:p>
    <w:p>
      <w:pPr>
        <w:pStyle w:val="ListParagraph"/>
        <w:numPr>
          <w:ilvl w:val="0"/>
          <w:numId w:val="2"/>
        </w:numPr>
        <w:tabs>
          <w:tab w:pos="2161" w:val="left" w:leader="none"/>
          <w:tab w:pos="2162" w:val="left" w:leader="none"/>
        </w:tabs>
        <w:spacing w:line="240" w:lineRule="auto" w:before="40" w:after="0"/>
        <w:ind w:left="2161" w:right="0" w:hanging="360"/>
        <w:jc w:val="left"/>
        <w:rPr>
          <w:sz w:val="24"/>
        </w:rPr>
      </w:pPr>
      <w:r>
        <w:rPr>
          <w:color w:val="231F20"/>
          <w:sz w:val="24"/>
        </w:rPr>
        <w:t>NDIA peer connect</w:t>
      </w:r>
      <w:r>
        <w:rPr>
          <w:color w:val="231F20"/>
          <w:spacing w:val="-3"/>
          <w:sz w:val="24"/>
        </w:rPr>
        <w:t> </w:t>
      </w:r>
      <w:r>
        <w:rPr>
          <w:color w:val="231F20"/>
          <w:sz w:val="24"/>
        </w:rPr>
        <w:t>project;</w:t>
      </w:r>
    </w:p>
    <w:p>
      <w:pPr>
        <w:pStyle w:val="ListParagraph"/>
        <w:numPr>
          <w:ilvl w:val="0"/>
          <w:numId w:val="2"/>
        </w:numPr>
        <w:tabs>
          <w:tab w:pos="2162" w:val="left" w:leader="none"/>
          <w:tab w:pos="2163" w:val="left" w:leader="none"/>
        </w:tabs>
        <w:spacing w:line="240" w:lineRule="auto" w:before="40" w:after="0"/>
        <w:ind w:left="2162" w:right="0" w:hanging="360"/>
        <w:jc w:val="left"/>
        <w:rPr>
          <w:sz w:val="24"/>
        </w:rPr>
      </w:pPr>
      <w:r>
        <w:rPr>
          <w:color w:val="231F20"/>
          <w:sz w:val="24"/>
        </w:rPr>
        <w:t>Working alongside Self Advocacy</w:t>
      </w:r>
      <w:r>
        <w:rPr>
          <w:color w:val="231F20"/>
          <w:spacing w:val="-9"/>
          <w:sz w:val="24"/>
        </w:rPr>
        <w:t> </w:t>
      </w:r>
      <w:r>
        <w:rPr>
          <w:color w:val="231F20"/>
          <w:sz w:val="24"/>
        </w:rPr>
        <w:t>WA;</w:t>
      </w:r>
    </w:p>
    <w:p>
      <w:pPr>
        <w:pStyle w:val="ListParagraph"/>
        <w:numPr>
          <w:ilvl w:val="0"/>
          <w:numId w:val="2"/>
        </w:numPr>
        <w:tabs>
          <w:tab w:pos="2162" w:val="left" w:leader="none"/>
          <w:tab w:pos="2163" w:val="left" w:leader="none"/>
        </w:tabs>
        <w:spacing w:line="240" w:lineRule="auto" w:before="39" w:after="0"/>
        <w:ind w:left="2162" w:right="0" w:hanging="360"/>
        <w:jc w:val="left"/>
        <w:rPr>
          <w:sz w:val="24"/>
        </w:rPr>
      </w:pPr>
      <w:r>
        <w:rPr>
          <w:color w:val="231F20"/>
          <w:sz w:val="24"/>
        </w:rPr>
        <w:t>Working on multiple transport</w:t>
      </w:r>
      <w:r>
        <w:rPr>
          <w:color w:val="231F20"/>
          <w:spacing w:val="-1"/>
          <w:sz w:val="24"/>
        </w:rPr>
        <w:t> </w:t>
      </w:r>
      <w:r>
        <w:rPr>
          <w:color w:val="231F20"/>
          <w:sz w:val="24"/>
        </w:rPr>
        <w:t>issues;</w:t>
      </w:r>
    </w:p>
    <w:p>
      <w:pPr>
        <w:pStyle w:val="ListParagraph"/>
        <w:numPr>
          <w:ilvl w:val="0"/>
          <w:numId w:val="2"/>
        </w:numPr>
        <w:tabs>
          <w:tab w:pos="2162" w:val="left" w:leader="none"/>
          <w:tab w:pos="2163" w:val="left" w:leader="none"/>
        </w:tabs>
        <w:spacing w:line="240" w:lineRule="auto" w:before="40" w:after="0"/>
        <w:ind w:left="2162" w:right="0" w:hanging="360"/>
        <w:jc w:val="left"/>
        <w:rPr>
          <w:sz w:val="24"/>
        </w:rPr>
      </w:pPr>
      <w:r>
        <w:rPr>
          <w:color w:val="231F20"/>
          <w:sz w:val="24"/>
        </w:rPr>
        <w:t>Housing</w:t>
      </w:r>
      <w:r>
        <w:rPr>
          <w:color w:val="231F20"/>
          <w:spacing w:val="-2"/>
          <w:sz w:val="24"/>
        </w:rPr>
        <w:t> </w:t>
      </w:r>
      <w:r>
        <w:rPr>
          <w:color w:val="231F20"/>
          <w:sz w:val="24"/>
        </w:rPr>
        <w:t>issues;</w:t>
      </w:r>
    </w:p>
    <w:p>
      <w:pPr>
        <w:pStyle w:val="ListParagraph"/>
        <w:numPr>
          <w:ilvl w:val="0"/>
          <w:numId w:val="2"/>
        </w:numPr>
        <w:tabs>
          <w:tab w:pos="2162" w:val="left" w:leader="none"/>
          <w:tab w:pos="2163" w:val="left" w:leader="none"/>
        </w:tabs>
        <w:spacing w:line="240" w:lineRule="auto" w:before="40" w:after="0"/>
        <w:ind w:left="2162" w:right="0" w:hanging="360"/>
        <w:jc w:val="left"/>
        <w:rPr>
          <w:sz w:val="24"/>
        </w:rPr>
      </w:pPr>
      <w:r>
        <w:rPr>
          <w:color w:val="231F20"/>
          <w:sz w:val="24"/>
        </w:rPr>
        <w:t>Significant work around abuse and</w:t>
      </w:r>
      <w:r>
        <w:rPr>
          <w:color w:val="231F20"/>
          <w:spacing w:val="-5"/>
          <w:sz w:val="24"/>
        </w:rPr>
        <w:t> </w:t>
      </w:r>
      <w:r>
        <w:rPr>
          <w:color w:val="231F20"/>
          <w:sz w:val="24"/>
        </w:rPr>
        <w:t>neglect;</w:t>
      </w:r>
    </w:p>
    <w:p>
      <w:pPr>
        <w:pStyle w:val="ListParagraph"/>
        <w:numPr>
          <w:ilvl w:val="0"/>
          <w:numId w:val="2"/>
        </w:numPr>
        <w:tabs>
          <w:tab w:pos="2162" w:val="left" w:leader="none"/>
          <w:tab w:pos="2163" w:val="left" w:leader="none"/>
        </w:tabs>
        <w:spacing w:line="273" w:lineRule="auto" w:before="39" w:after="0"/>
        <w:ind w:left="2162" w:right="1576" w:hanging="360"/>
        <w:jc w:val="left"/>
        <w:rPr>
          <w:sz w:val="24"/>
        </w:rPr>
      </w:pPr>
      <w:r>
        <w:rPr>
          <w:color w:val="231F20"/>
          <w:sz w:val="24"/>
        </w:rPr>
        <w:t>Work on people living in inappropriate institutional and residential care settings;</w:t>
      </w:r>
    </w:p>
    <w:p>
      <w:pPr>
        <w:pStyle w:val="ListParagraph"/>
        <w:numPr>
          <w:ilvl w:val="0"/>
          <w:numId w:val="2"/>
        </w:numPr>
        <w:tabs>
          <w:tab w:pos="2162" w:val="left" w:leader="none"/>
          <w:tab w:pos="2163" w:val="left" w:leader="none"/>
        </w:tabs>
        <w:spacing w:line="240" w:lineRule="auto" w:before="1" w:after="0"/>
        <w:ind w:left="2162" w:right="0" w:hanging="360"/>
        <w:jc w:val="left"/>
        <w:rPr>
          <w:sz w:val="24"/>
        </w:rPr>
      </w:pPr>
      <w:r>
        <w:rPr>
          <w:color w:val="231F20"/>
          <w:sz w:val="24"/>
        </w:rPr>
        <w:t>Partnerships and</w:t>
      </w:r>
      <w:r>
        <w:rPr>
          <w:color w:val="231F20"/>
          <w:spacing w:val="-1"/>
          <w:sz w:val="24"/>
        </w:rPr>
        <w:t> </w:t>
      </w:r>
      <w:r>
        <w:rPr>
          <w:color w:val="231F20"/>
          <w:sz w:val="24"/>
        </w:rPr>
        <w:t>collaborations;</w:t>
      </w:r>
    </w:p>
    <w:p>
      <w:pPr>
        <w:pStyle w:val="ListParagraph"/>
        <w:numPr>
          <w:ilvl w:val="0"/>
          <w:numId w:val="2"/>
        </w:numPr>
        <w:tabs>
          <w:tab w:pos="2163" w:val="left" w:leader="none"/>
          <w:tab w:pos="2164" w:val="left" w:leader="none"/>
        </w:tabs>
        <w:spacing w:line="240" w:lineRule="auto" w:before="42" w:after="0"/>
        <w:ind w:left="2163" w:right="0" w:hanging="360"/>
        <w:jc w:val="left"/>
        <w:rPr>
          <w:sz w:val="24"/>
        </w:rPr>
      </w:pPr>
      <w:r>
        <w:rPr>
          <w:color w:val="231F20"/>
          <w:sz w:val="24"/>
        </w:rPr>
        <w:t>Media representations on issues for people with a</w:t>
      </w:r>
      <w:r>
        <w:rPr>
          <w:color w:val="231F20"/>
          <w:spacing w:val="-15"/>
          <w:sz w:val="24"/>
        </w:rPr>
        <w:t> </w:t>
      </w:r>
      <w:r>
        <w:rPr>
          <w:color w:val="231F20"/>
          <w:sz w:val="24"/>
        </w:rPr>
        <w:t>disability.</w:t>
      </w:r>
    </w:p>
    <w:p>
      <w:pPr>
        <w:pStyle w:val="BodyText"/>
        <w:spacing w:line="276" w:lineRule="auto" w:before="238"/>
        <w:ind w:left="1443" w:right="1572"/>
        <w:jc w:val="both"/>
      </w:pPr>
      <w:r>
        <w:rPr>
          <w:color w:val="231F20"/>
        </w:rPr>
        <w:t>I would like to thank our fantastic advocates, communication and administrative people for their on-going enthusiasm, compassion, and work ethic which give the organisation its strength and ability to undertake this work.</w:t>
      </w:r>
    </w:p>
    <w:p>
      <w:pPr>
        <w:pStyle w:val="BodyText"/>
        <w:spacing w:line="276" w:lineRule="auto" w:before="203"/>
        <w:ind w:left="1443" w:right="1574"/>
        <w:jc w:val="both"/>
      </w:pPr>
      <w:r>
        <w:rPr>
          <w:color w:val="231F20"/>
        </w:rPr>
        <w:t>A strong working relationship between the Executive Director and President is crucial for any organisation; I would like to formally thank Samantha  Jenkinson for her leadership and support throughout the</w:t>
      </w:r>
      <w:r>
        <w:rPr>
          <w:color w:val="231F20"/>
          <w:spacing w:val="-6"/>
        </w:rPr>
        <w:t> </w:t>
      </w:r>
      <w:r>
        <w:rPr>
          <w:color w:val="231F20"/>
        </w:rPr>
        <w:t>year.</w:t>
      </w:r>
    </w:p>
    <w:p>
      <w:pPr>
        <w:pStyle w:val="BodyText"/>
        <w:rPr>
          <w:sz w:val="20"/>
        </w:rPr>
      </w:pPr>
    </w:p>
    <w:p>
      <w:pPr>
        <w:pStyle w:val="BodyText"/>
        <w:rPr>
          <w:sz w:val="20"/>
        </w:rPr>
      </w:pPr>
    </w:p>
    <w:p>
      <w:pPr>
        <w:pStyle w:val="BodyText"/>
        <w:spacing w:before="11"/>
        <w:rPr>
          <w:sz w:val="21"/>
        </w:rPr>
      </w:pPr>
    </w:p>
    <w:p>
      <w:pPr>
        <w:pStyle w:val="BodyText"/>
        <w:spacing w:before="92"/>
        <w:ind w:left="2186"/>
      </w:pPr>
      <w:r>
        <w:rPr>
          <w:color w:val="44536A"/>
        </w:rPr>
        <w:t>Annual Report 2014 – 2015</w:t>
      </w:r>
    </w:p>
    <w:p>
      <w:pPr>
        <w:pStyle w:val="BodyText"/>
        <w:spacing w:before="26"/>
        <w:ind w:right="1574"/>
        <w:jc w:val="right"/>
      </w:pPr>
      <w:r>
        <w:rPr>
          <w:color w:val="44536A"/>
        </w:rPr>
        <w:t>Page 4</w:t>
      </w:r>
    </w:p>
    <w:p>
      <w:pPr>
        <w:spacing w:after="0"/>
        <w:jc w:val="right"/>
        <w:sectPr>
          <w:headerReference w:type="default" r:id="rId16"/>
          <w:pgSz w:w="11910" w:h="16840"/>
          <w:pgMar w:header="0" w:footer="524" w:top="100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Heading4"/>
        <w:spacing w:before="92"/>
        <w:rPr>
          <w:i/>
        </w:rPr>
      </w:pPr>
      <w:r>
        <w:rPr>
          <w:i/>
          <w:color w:val="231F20"/>
        </w:rPr>
        <w:t>Committee of Management</w:t>
      </w:r>
    </w:p>
    <w:p>
      <w:pPr>
        <w:pStyle w:val="BodyText"/>
        <w:spacing w:line="276" w:lineRule="auto" w:before="123"/>
        <w:ind w:left="1800" w:right="1227"/>
        <w:jc w:val="both"/>
      </w:pPr>
      <w:r>
        <w:rPr>
          <w:color w:val="231F20"/>
        </w:rPr>
        <w:t>It has been my privilege to work with a team of such calibre as makes up the PWdWA Committee of Management.</w:t>
      </w:r>
    </w:p>
    <w:p>
      <w:pPr>
        <w:pStyle w:val="BodyText"/>
        <w:spacing w:line="276" w:lineRule="auto" w:before="198"/>
        <w:ind w:left="1800" w:right="1219"/>
        <w:jc w:val="both"/>
      </w:pPr>
      <w:r>
        <w:rPr>
          <w:color w:val="231F20"/>
        </w:rPr>
        <w:t>Over the past year the Committee of Management has focused on reviewing governance policies, a 2015-18 strategic plan, amendments to the PWdWA Business Rules (constitution), and strategic direction of the organisation in a changing disability sector. We are fortunate to have such a breadth of knowledge, youth and experience to call upon.</w:t>
      </w:r>
    </w:p>
    <w:p>
      <w:pPr>
        <w:pStyle w:val="BodyText"/>
        <w:spacing w:line="276" w:lineRule="auto" w:before="202"/>
        <w:ind w:left="1800" w:right="1214" w:hanging="1"/>
        <w:jc w:val="both"/>
      </w:pPr>
      <w:r>
        <w:rPr>
          <w:color w:val="231F20"/>
        </w:rPr>
        <w:t>I would like to thank, Kerrie Duff, Mallika MacLeod, Monica McGhie, Kelly-Anne Blanch, Ryan Gay, Jordon Steele-John, Prue Hawkins (seconded) and Ryen Songhourst (retired), who have willingly given their time, commitment and advice in governing the organisation.</w:t>
      </w:r>
    </w:p>
    <w:p>
      <w:pPr>
        <w:pStyle w:val="BodyText"/>
        <w:spacing w:before="10"/>
        <w:rPr>
          <w:sz w:val="20"/>
        </w:rPr>
      </w:pPr>
    </w:p>
    <w:p>
      <w:pPr>
        <w:pStyle w:val="Heading4"/>
        <w:ind w:left="1801"/>
        <w:rPr>
          <w:i/>
        </w:rPr>
      </w:pPr>
      <w:r>
        <w:rPr>
          <w:i/>
          <w:color w:val="231F20"/>
        </w:rPr>
        <w:t>Our Members and Partnerships</w:t>
      </w:r>
    </w:p>
    <w:p>
      <w:pPr>
        <w:pStyle w:val="BodyText"/>
        <w:spacing w:line="276" w:lineRule="auto" w:before="120"/>
        <w:ind w:left="1801" w:right="1214"/>
        <w:jc w:val="both"/>
      </w:pPr>
      <w:r>
        <w:rPr>
          <w:color w:val="231F20"/>
        </w:rPr>
        <w:t>A strong membership organisation needs strong engagement with its members. Throughout our strategic plan development member engagement was a prime focus, ensuring that a new strategic plan would meet the needs of PWdWA members. The Membership and engagement sub-committee reviewed our membership categories and process, recommending several changes that would improve membership and the way potential members could join and participate.</w:t>
      </w:r>
    </w:p>
    <w:p>
      <w:pPr>
        <w:pStyle w:val="BodyText"/>
        <w:spacing w:line="276" w:lineRule="auto" w:before="201"/>
        <w:ind w:left="1801" w:right="1214"/>
        <w:jc w:val="both"/>
      </w:pPr>
      <w:r>
        <w:rPr>
          <w:color w:val="231F20"/>
          <w:spacing w:val="1"/>
        </w:rPr>
        <w:t>We </w:t>
      </w:r>
      <w:r>
        <w:rPr>
          <w:color w:val="231F20"/>
        </w:rPr>
        <w:t>have continued working alongside self-advocacy, leadership and peer support groups such as; Self-Advocacy WA, Spinal Chatter and Diverse Leadership</w:t>
      </w:r>
      <w:r>
        <w:rPr>
          <w:color w:val="231F20"/>
          <w:spacing w:val="-1"/>
        </w:rPr>
        <w:t> </w:t>
      </w:r>
      <w:r>
        <w:rPr>
          <w:color w:val="231F20"/>
        </w:rPr>
        <w:t>(Inc.).</w:t>
      </w:r>
    </w:p>
    <w:p>
      <w:pPr>
        <w:pStyle w:val="BodyText"/>
        <w:spacing w:line="276" w:lineRule="auto" w:before="200"/>
        <w:ind w:left="1801" w:right="1212"/>
        <w:jc w:val="both"/>
      </w:pPr>
      <w:r>
        <w:rPr>
          <w:color w:val="231F20"/>
        </w:rPr>
        <w:t>During the year PWdWA has entered into Memorandums of Understanding with Connectgroups Support Groups Association</w:t>
      </w:r>
      <w:r>
        <w:rPr>
          <w:b/>
          <w:color w:val="231F20"/>
        </w:rPr>
        <w:t>, </w:t>
      </w:r>
      <w:r>
        <w:rPr>
          <w:color w:val="231F20"/>
        </w:rPr>
        <w:t>Advocacy South West, Sussex Street Community Law Service, and renewed our Memorandum  of Understanding with People with Disability</w:t>
      </w:r>
      <w:r>
        <w:rPr>
          <w:color w:val="231F20"/>
          <w:spacing w:val="-7"/>
        </w:rPr>
        <w:t> </w:t>
      </w:r>
      <w:r>
        <w:rPr>
          <w:color w:val="231F20"/>
        </w:rPr>
        <w:t>Australia.</w:t>
      </w:r>
    </w:p>
    <w:p>
      <w:pPr>
        <w:pStyle w:val="BodyText"/>
        <w:spacing w:before="1"/>
        <w:rPr>
          <w:sz w:val="21"/>
        </w:rPr>
      </w:pPr>
    </w:p>
    <w:p>
      <w:pPr>
        <w:pStyle w:val="Heading4"/>
        <w:ind w:left="1801"/>
        <w:rPr>
          <w:i/>
        </w:rPr>
      </w:pPr>
      <w:r>
        <w:rPr>
          <w:i/>
          <w:color w:val="231F20"/>
        </w:rPr>
        <w:t>Funding</w:t>
      </w:r>
    </w:p>
    <w:p>
      <w:pPr>
        <w:pStyle w:val="BodyText"/>
        <w:spacing w:line="276" w:lineRule="auto" w:before="120"/>
        <w:ind w:left="1801" w:right="1213"/>
        <w:jc w:val="both"/>
      </w:pPr>
      <w:r>
        <w:rPr>
          <w:color w:val="231F20"/>
        </w:rPr>
        <w:t>PWdWA is funded at the state level by the Disability Services Commission (DSC). I would like to thank the </w:t>
      </w:r>
      <w:r>
        <w:rPr>
          <w:color w:val="231F20"/>
          <w:spacing w:val="2"/>
        </w:rPr>
        <w:t>WA </w:t>
      </w:r>
      <w:r>
        <w:rPr>
          <w:color w:val="231F20"/>
        </w:rPr>
        <w:t>Disability Services Commission for their ongoing support throughout the year. Access to DSC run forums, meetings and events has given us opportunity to assist in directing the right change for the sector.</w:t>
      </w:r>
    </w:p>
    <w:p>
      <w:pPr>
        <w:pStyle w:val="BodyText"/>
        <w:spacing w:line="278" w:lineRule="auto" w:before="199"/>
        <w:ind w:left="1802" w:right="1220"/>
        <w:jc w:val="both"/>
      </w:pPr>
      <w:r>
        <w:rPr>
          <w:color w:val="231F20"/>
        </w:rPr>
        <w:t>Federally, PWdWA receives funding from the Department of Social Services (DSS); we thank DSS for that support.</w:t>
      </w:r>
    </w:p>
    <w:p>
      <w:pPr>
        <w:pStyle w:val="BodyText"/>
        <w:spacing w:line="276" w:lineRule="auto" w:before="195"/>
        <w:ind w:left="1802" w:right="1216"/>
        <w:jc w:val="both"/>
      </w:pPr>
      <w:r>
        <w:rPr>
          <w:color w:val="231F20"/>
        </w:rPr>
        <w:t>Over the past few years the disability sector has been one of great change; the need for a strong, reliable, and flexible disability advocacy organisation has never been greater. With the NDIS, My Way, a changing service sector and changes</w:t>
      </w:r>
      <w:r>
        <w:rPr>
          <w:color w:val="231F20"/>
          <w:spacing w:val="57"/>
        </w:rPr>
        <w:t> </w:t>
      </w:r>
      <w:r>
        <w:rPr>
          <w:color w:val="231F20"/>
        </w:rPr>
        <w:t>to</w:t>
      </w:r>
    </w:p>
    <w:p>
      <w:pPr>
        <w:pStyle w:val="BodyText"/>
        <w:spacing w:before="11"/>
        <w:rPr>
          <w:sz w:val="12"/>
        </w:rPr>
      </w:pPr>
    </w:p>
    <w:p>
      <w:pPr>
        <w:pStyle w:val="BodyText"/>
        <w:spacing w:before="92"/>
        <w:ind w:left="2546"/>
      </w:pPr>
      <w:r>
        <w:rPr>
          <w:color w:val="44536A"/>
        </w:rPr>
        <w:t>Annual Report 2014 – 2015</w:t>
      </w:r>
    </w:p>
    <w:p>
      <w:pPr>
        <w:pStyle w:val="BodyText"/>
        <w:spacing w:before="26"/>
        <w:ind w:right="1214"/>
        <w:jc w:val="right"/>
      </w:pPr>
      <w:r>
        <w:rPr>
          <w:color w:val="44536A"/>
        </w:rPr>
        <w:t>Page 5</w:t>
      </w:r>
    </w:p>
    <w:p>
      <w:pPr>
        <w:spacing w:after="0"/>
        <w:jc w:val="right"/>
        <w:sectPr>
          <w:headerReference w:type="default" r:id="rId18"/>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441" w:right="1575" w:hanging="1"/>
        <w:jc w:val="both"/>
      </w:pPr>
      <w:r>
        <w:rPr>
          <w:color w:val="231F20"/>
        </w:rPr>
        <w:t>how the state and federal government funds disability advocacy, we remain focused on our task to ensure that people with a disability have their voices heard, and are not locked out of decision processes that effect their</w:t>
      </w:r>
      <w:r>
        <w:rPr>
          <w:color w:val="231F20"/>
          <w:spacing w:val="-17"/>
        </w:rPr>
        <w:t> </w:t>
      </w:r>
      <w:r>
        <w:rPr>
          <w:color w:val="231F20"/>
        </w:rPr>
        <w:t>lives.</w:t>
      </w:r>
    </w:p>
    <w:p>
      <w:pPr>
        <w:pStyle w:val="BodyText"/>
        <w:spacing w:before="2"/>
        <w:rPr>
          <w:sz w:val="14"/>
        </w:rPr>
      </w:pPr>
      <w:r>
        <w:rPr/>
        <w:drawing>
          <wp:anchor distT="0" distB="0" distL="0" distR="0" allowOverlap="1" layoutInCell="1" locked="0" behindDoc="0" simplePos="0" relativeHeight="1264">
            <wp:simplePos x="0" y="0"/>
            <wp:positionH relativeFrom="page">
              <wp:posOffset>914400</wp:posOffset>
            </wp:positionH>
            <wp:positionV relativeFrom="paragraph">
              <wp:posOffset>128746</wp:posOffset>
            </wp:positionV>
            <wp:extent cx="1412035" cy="612552"/>
            <wp:effectExtent l="0" t="0" r="0" b="0"/>
            <wp:wrapTopAndBottom/>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20" cstate="print"/>
                    <a:stretch>
                      <a:fillRect/>
                    </a:stretch>
                  </pic:blipFill>
                  <pic:spPr>
                    <a:xfrm>
                      <a:off x="0" y="0"/>
                      <a:ext cx="1412035" cy="612552"/>
                    </a:xfrm>
                    <a:prstGeom prst="rect">
                      <a:avLst/>
                    </a:prstGeom>
                  </pic:spPr>
                </pic:pic>
              </a:graphicData>
            </a:graphic>
          </wp:anchor>
        </w:drawing>
      </w:r>
    </w:p>
    <w:p>
      <w:pPr>
        <w:pStyle w:val="BodyText"/>
        <w:spacing w:before="214"/>
        <w:ind w:left="1441"/>
      </w:pPr>
      <w:r>
        <w:rPr>
          <w:color w:val="231F20"/>
        </w:rPr>
        <w:t>Greg Madson</w:t>
      </w:r>
    </w:p>
    <w:p>
      <w:pPr>
        <w:pStyle w:val="BodyText"/>
        <w:spacing w:before="6"/>
        <w:rPr>
          <w:sz w:val="29"/>
        </w:rPr>
      </w:pPr>
    </w:p>
    <w:p>
      <w:pPr>
        <w:pStyle w:val="Heading1"/>
        <w:spacing w:before="0"/>
        <w:ind w:left="1440"/>
      </w:pPr>
      <w:bookmarkStart w:name="_TOC_250011" w:id="6"/>
      <w:r>
        <w:rPr>
          <w:color w:val="231F20"/>
          <w:spacing w:val="1"/>
        </w:rPr>
        <w:t>Committee </w:t>
      </w:r>
      <w:r>
        <w:rPr>
          <w:color w:val="231F20"/>
        </w:rPr>
        <w:t>of </w:t>
      </w:r>
      <w:r>
        <w:rPr>
          <w:color w:val="231F20"/>
          <w:spacing w:val="1"/>
        </w:rPr>
        <w:t>Management 2014 </w:t>
      </w:r>
      <w:r>
        <w:rPr>
          <w:color w:val="231F20"/>
        </w:rPr>
        <w:t>-</w:t>
      </w:r>
      <w:r>
        <w:rPr>
          <w:color w:val="231F20"/>
          <w:spacing w:val="50"/>
        </w:rPr>
        <w:t> </w:t>
      </w:r>
      <w:bookmarkEnd w:id="6"/>
      <w:r>
        <w:rPr>
          <w:color w:val="231F20"/>
          <w:spacing w:val="2"/>
        </w:rPr>
        <w:t>2015</w:t>
      </w:r>
    </w:p>
    <w:p>
      <w:pPr>
        <w:pStyle w:val="BodyText"/>
        <w:tabs>
          <w:tab w:pos="3600" w:val="left" w:leader="none"/>
        </w:tabs>
        <w:spacing w:line="451" w:lineRule="auto" w:before="90"/>
        <w:ind w:left="1440" w:right="6415"/>
      </w:pPr>
      <w:r>
        <w:rPr>
          <w:color w:val="231F20"/>
        </w:rPr>
        <w:t>President</w:t>
        <w:tab/>
        <w:t>Greg Madson Vice</w:t>
      </w:r>
      <w:r>
        <w:rPr>
          <w:color w:val="231F20"/>
          <w:spacing w:val="-2"/>
        </w:rPr>
        <w:t> </w:t>
      </w:r>
      <w:r>
        <w:rPr>
          <w:color w:val="231F20"/>
        </w:rPr>
        <w:t>President</w:t>
        <w:tab/>
        <w:t>Kerrie Duff Treasurer</w:t>
        <w:tab/>
        <w:t>Monica</w:t>
      </w:r>
      <w:r>
        <w:rPr>
          <w:color w:val="231F20"/>
          <w:spacing w:val="-5"/>
        </w:rPr>
        <w:t> </w:t>
      </w:r>
      <w:r>
        <w:rPr>
          <w:color w:val="231F20"/>
        </w:rPr>
        <w:t>McGhie</w:t>
      </w:r>
    </w:p>
    <w:p>
      <w:pPr>
        <w:pStyle w:val="BodyText"/>
        <w:tabs>
          <w:tab w:pos="3600" w:val="left" w:leader="none"/>
        </w:tabs>
        <w:spacing w:line="448" w:lineRule="auto"/>
        <w:ind w:left="1440" w:right="6002"/>
      </w:pPr>
      <w:r>
        <w:rPr>
          <w:color w:val="231F20"/>
        </w:rPr>
        <w:t>Secretary</w:t>
        <w:tab/>
        <w:t>Mallika Macleod Ordinary</w:t>
      </w:r>
      <w:r>
        <w:rPr>
          <w:color w:val="231F20"/>
          <w:spacing w:val="-4"/>
        </w:rPr>
        <w:t> </w:t>
      </w:r>
      <w:r>
        <w:rPr>
          <w:color w:val="231F20"/>
        </w:rPr>
        <w:t>Member</w:t>
        <w:tab/>
        <w:t>Jordan Steele-John Ordinary</w:t>
      </w:r>
      <w:r>
        <w:rPr>
          <w:color w:val="231F20"/>
          <w:spacing w:val="-4"/>
        </w:rPr>
        <w:t> </w:t>
      </w:r>
      <w:r>
        <w:rPr>
          <w:color w:val="231F20"/>
        </w:rPr>
        <w:t>Member</w:t>
        <w:tab/>
        <w:t>Ryan</w:t>
      </w:r>
      <w:r>
        <w:rPr>
          <w:color w:val="231F20"/>
          <w:spacing w:val="-1"/>
        </w:rPr>
        <w:t> </w:t>
      </w:r>
      <w:r>
        <w:rPr>
          <w:color w:val="231F20"/>
        </w:rPr>
        <w:t>Gay</w:t>
      </w:r>
    </w:p>
    <w:p>
      <w:pPr>
        <w:pStyle w:val="BodyText"/>
        <w:tabs>
          <w:tab w:pos="3600" w:val="left" w:leader="none"/>
        </w:tabs>
        <w:spacing w:line="448" w:lineRule="auto" w:before="1"/>
        <w:ind w:left="1440" w:right="5363" w:hanging="1"/>
      </w:pPr>
      <w:r>
        <w:rPr/>
        <w:drawing>
          <wp:anchor distT="0" distB="0" distL="0" distR="0" allowOverlap="1" layoutInCell="1" locked="0" behindDoc="0" simplePos="0" relativeHeight="1288">
            <wp:simplePos x="0" y="0"/>
            <wp:positionH relativeFrom="page">
              <wp:posOffset>1309116</wp:posOffset>
            </wp:positionH>
            <wp:positionV relativeFrom="paragraph">
              <wp:posOffset>1020697</wp:posOffset>
            </wp:positionV>
            <wp:extent cx="4695349" cy="3195828"/>
            <wp:effectExtent l="0" t="0" r="0" b="0"/>
            <wp:wrapTopAndBottom/>
            <wp:docPr id="9" name="image14.jpeg" descr=""/>
            <wp:cNvGraphicFramePr>
              <a:graphicFrameLocks noChangeAspect="1"/>
            </wp:cNvGraphicFramePr>
            <a:graphic>
              <a:graphicData uri="http://schemas.openxmlformats.org/drawingml/2006/picture">
                <pic:pic>
                  <pic:nvPicPr>
                    <pic:cNvPr id="10" name="image14.jpeg"/>
                    <pic:cNvPicPr/>
                  </pic:nvPicPr>
                  <pic:blipFill>
                    <a:blip r:embed="rId21" cstate="print"/>
                    <a:stretch>
                      <a:fillRect/>
                    </a:stretch>
                  </pic:blipFill>
                  <pic:spPr>
                    <a:xfrm>
                      <a:off x="0" y="0"/>
                      <a:ext cx="4695349" cy="3195828"/>
                    </a:xfrm>
                    <a:prstGeom prst="rect">
                      <a:avLst/>
                    </a:prstGeom>
                  </pic:spPr>
                </pic:pic>
              </a:graphicData>
            </a:graphic>
          </wp:anchor>
        </w:drawing>
      </w:r>
      <w:r>
        <w:rPr>
          <w:color w:val="231F20"/>
        </w:rPr>
        <w:t>Ordinary</w:t>
      </w:r>
      <w:r>
        <w:rPr>
          <w:color w:val="231F20"/>
          <w:spacing w:val="-4"/>
        </w:rPr>
        <w:t> </w:t>
      </w:r>
      <w:r>
        <w:rPr>
          <w:color w:val="231F20"/>
        </w:rPr>
        <w:t>Member</w:t>
        <w:tab/>
        <w:t>Kelly-Anne Blanch Ordinary</w:t>
      </w:r>
      <w:r>
        <w:rPr>
          <w:color w:val="231F20"/>
          <w:spacing w:val="-4"/>
        </w:rPr>
        <w:t> </w:t>
      </w:r>
      <w:r>
        <w:rPr>
          <w:color w:val="231F20"/>
        </w:rPr>
        <w:t>Member</w:t>
        <w:tab/>
        <w:t>Ryen Songhurst (Retired) Ordinary</w:t>
      </w:r>
      <w:r>
        <w:rPr>
          <w:color w:val="231F20"/>
          <w:spacing w:val="-4"/>
        </w:rPr>
        <w:t> </w:t>
      </w:r>
      <w:r>
        <w:rPr>
          <w:color w:val="231F20"/>
        </w:rPr>
        <w:t>Member</w:t>
        <w:tab/>
        <w:t>Pru Hawkins</w:t>
      </w:r>
      <w:r>
        <w:rPr>
          <w:color w:val="231F20"/>
          <w:spacing w:val="-4"/>
        </w:rPr>
        <w:t> </w:t>
      </w:r>
      <w:r>
        <w:rPr>
          <w:color w:val="231F20"/>
        </w:rPr>
        <w:t>(seconded)</w:t>
      </w:r>
    </w:p>
    <w:p>
      <w:pPr>
        <w:pStyle w:val="BodyText"/>
        <w:spacing w:line="276" w:lineRule="auto" w:before="62"/>
        <w:ind w:left="2359" w:right="2134"/>
      </w:pPr>
      <w:r>
        <w:rPr>
          <w:color w:val="231F20"/>
        </w:rPr>
        <w:t>(L-R) Kelly-Anne Blanch, Mallika Macleod, Greg Madson and Jordan Steele-John</w:t>
      </w:r>
    </w:p>
    <w:p>
      <w:pPr>
        <w:pStyle w:val="BodyText"/>
        <w:spacing w:before="44"/>
        <w:ind w:left="2186"/>
      </w:pPr>
      <w:r>
        <w:rPr>
          <w:color w:val="44536A"/>
        </w:rPr>
        <w:t>Annual Report 2014 – 2015</w:t>
      </w:r>
    </w:p>
    <w:p>
      <w:pPr>
        <w:pStyle w:val="BodyText"/>
        <w:spacing w:before="27"/>
        <w:ind w:right="1574"/>
        <w:jc w:val="right"/>
      </w:pPr>
      <w:r>
        <w:rPr>
          <w:color w:val="44536A"/>
        </w:rPr>
        <w:t>Page 6</w:t>
      </w:r>
    </w:p>
    <w:p>
      <w:pPr>
        <w:spacing w:after="0"/>
        <w:jc w:val="right"/>
        <w:sectPr>
          <w:headerReference w:type="default" r:id="rId19"/>
          <w:pgSz w:w="11910" w:h="16840"/>
          <w:pgMar w:header="0" w:footer="524" w:top="960" w:bottom="720" w:left="0" w:right="220"/>
        </w:sectPr>
      </w:pPr>
    </w:p>
    <w:p>
      <w:pPr>
        <w:pStyle w:val="BodyText"/>
        <w:rPr>
          <w:sz w:val="20"/>
        </w:rPr>
      </w:pPr>
    </w:p>
    <w:p>
      <w:pPr>
        <w:pStyle w:val="BodyText"/>
        <w:spacing w:before="8"/>
        <w:rPr>
          <w:sz w:val="20"/>
        </w:rPr>
      </w:pPr>
    </w:p>
    <w:p>
      <w:pPr>
        <w:pStyle w:val="Heading1"/>
        <w:spacing w:before="91"/>
        <w:jc w:val="both"/>
      </w:pPr>
      <w:r>
        <w:rPr/>
        <w:pict>
          <v:group style="position:absolute;margin-left:88.584pt;margin-top:-22.038185pt;width:447.85pt;height:189.4pt;mso-position-horizontal-relative:page;mso-position-vertical-relative:paragraph;z-index:-84832" coordorigin="1772,-441" coordsize="8957,3788">
            <v:line style="position:absolute" from="1772,-436" to="10497,-436" stroked="true" strokeweight=".48pt" strokecolor="#231f20">
              <v:stroke dashstyle="solid"/>
            </v:line>
            <v:shape style="position:absolute;left:8018;top:-432;width:2710;height:3778" type="#_x0000_t75" stroked="false">
              <v:imagedata r:id="rId23" o:title=""/>
            </v:shape>
            <w10:wrap type="none"/>
          </v:group>
        </w:pict>
      </w:r>
      <w:bookmarkStart w:name="_TOC_250010" w:id="7"/>
      <w:bookmarkEnd w:id="7"/>
      <w:r>
        <w:rPr>
          <w:color w:val="231F20"/>
        </w:rPr>
        <w:t>PWdWA Executive Director Report</w:t>
      </w:r>
    </w:p>
    <w:p>
      <w:pPr>
        <w:pStyle w:val="BodyText"/>
        <w:spacing w:line="259" w:lineRule="auto" w:before="93"/>
        <w:ind w:left="1800" w:right="3937"/>
        <w:jc w:val="both"/>
      </w:pPr>
      <w:r>
        <w:rPr>
          <w:color w:val="231F20"/>
        </w:rPr>
        <w:t>The 2014-15 year has been a time of change for  People With Disabilities (WA) Inc as well as continuing change for the disability sector. </w:t>
      </w:r>
      <w:r>
        <w:rPr>
          <w:color w:val="231F20"/>
          <w:spacing w:val="1"/>
        </w:rPr>
        <w:t>We </w:t>
      </w:r>
      <w:r>
        <w:rPr>
          <w:color w:val="231F20"/>
        </w:rPr>
        <w:t>have had new staff and a number of systemic projects as well as an exciting peer support project that have started this</w:t>
      </w:r>
      <w:r>
        <w:rPr>
          <w:color w:val="231F20"/>
          <w:spacing w:val="-20"/>
        </w:rPr>
        <w:t> </w:t>
      </w:r>
      <w:r>
        <w:rPr>
          <w:color w:val="231F20"/>
        </w:rPr>
        <w:t>year.</w:t>
      </w:r>
    </w:p>
    <w:p>
      <w:pPr>
        <w:pStyle w:val="BodyText"/>
        <w:spacing w:line="259" w:lineRule="auto" w:before="159"/>
        <w:ind w:left="1800" w:right="3933"/>
        <w:jc w:val="both"/>
      </w:pPr>
      <w:r>
        <w:rPr>
          <w:color w:val="231F20"/>
        </w:rPr>
        <w:t>I took on the role of Executive Director in mid  November 2014. I would like to thank Andrew  Jefferson, the previous Executive Director for his commitment to PWdWA and his passion to see this organisation  put  into practice  the  values that</w:t>
      </w:r>
      <w:r>
        <w:rPr>
          <w:color w:val="231F20"/>
          <w:spacing w:val="0"/>
        </w:rPr>
        <w:t> </w:t>
      </w:r>
      <w:r>
        <w:rPr>
          <w:color w:val="231F20"/>
        </w:rPr>
        <w:t>it stands</w:t>
      </w:r>
    </w:p>
    <w:p>
      <w:pPr>
        <w:pStyle w:val="BodyText"/>
        <w:spacing w:line="259" w:lineRule="auto"/>
        <w:ind w:left="1800" w:right="1216"/>
        <w:jc w:val="both"/>
      </w:pPr>
      <w:r>
        <w:rPr>
          <w:color w:val="231F20"/>
        </w:rPr>
        <w:t>for. I would also like to thank Carmen Pratts-Hincks, the Senior Advocate, who took on the added responsibility of Executive Director after Andrew's resignation and ensured that the organisation was ready for me to have a smooth start in November. The staff and the Committee of Management have made me  welcome and supported me to ensure that PWdWA is doing the best job that it can in representing people with disability and providing high-quality advocacy services.</w:t>
      </w:r>
    </w:p>
    <w:p>
      <w:pPr>
        <w:pStyle w:val="BodyText"/>
        <w:spacing w:line="259" w:lineRule="auto" w:before="158"/>
        <w:ind w:left="1800" w:right="1215"/>
        <w:jc w:val="both"/>
      </w:pPr>
      <w:r>
        <w:rPr>
          <w:color w:val="231F20"/>
        </w:rPr>
        <w:t>In 2014 our previous strategic plan ended and so with a new Executive Director, the timing was perfect for developing a new strategic plan. Our strategic plan for 2015 to 2018 was developed with the assistance of Jackie Softly Consulting who also mentored Ryan Gay, one of our Committee of Management members, on the process of consultation and development of strategic planning. Ryan and Jackie engaged our members, committee of Management, staff, and other stakeholders to gather information on what direction we should be taking over the next 3 to 5 years. Our new strategic plan has a much stronger focus on human rights and citizenship for people with disability. Our new strategic objectives confirm our core business of being an advocacy organisation providing individual and systemic advocacy services, as well as being a representative organisation and peak body for people with disabilities here in Western Australia. I would encourage our members and stakeholders to look at our new strategic</w:t>
      </w:r>
      <w:r>
        <w:rPr>
          <w:color w:val="231F20"/>
          <w:spacing w:val="-21"/>
        </w:rPr>
        <w:t> </w:t>
      </w:r>
      <w:r>
        <w:rPr>
          <w:color w:val="231F20"/>
        </w:rPr>
        <w:t>plan.</w:t>
      </w:r>
    </w:p>
    <w:p>
      <w:pPr>
        <w:pStyle w:val="BodyText"/>
        <w:spacing w:line="259" w:lineRule="auto" w:before="155"/>
        <w:ind w:left="1800" w:right="1216"/>
        <w:jc w:val="both"/>
      </w:pPr>
      <w:r>
        <w:rPr>
          <w:color w:val="231F20"/>
        </w:rPr>
        <w:t>PWdWA has been vigorous in its advocacy at both the individual and systemic levels this year. This report highlights the type of issues our advocates work with people on, and provides examples to show the outcomes advocacy can achieve. This year we have also empowered people with disability from our individual advocacy to speak and share their experiences at Senate Inquiries and the inquiry by the Joint Parliamentary Standing Committee on the NDIS. Our individual advocacy is very important to informing the submissions we make and the systemic advocacy issues we</w:t>
      </w:r>
      <w:r>
        <w:rPr>
          <w:color w:val="231F20"/>
          <w:spacing w:val="-7"/>
        </w:rPr>
        <w:t> </w:t>
      </w:r>
      <w:r>
        <w:rPr>
          <w:color w:val="231F20"/>
        </w:rPr>
        <w:t>undertake.</w:t>
      </w:r>
    </w:p>
    <w:p>
      <w:pPr>
        <w:pStyle w:val="BodyText"/>
        <w:spacing w:line="259" w:lineRule="auto" w:before="160"/>
        <w:ind w:left="1800" w:right="1223"/>
        <w:jc w:val="both"/>
      </w:pPr>
      <w:r>
        <w:rPr>
          <w:color w:val="231F20"/>
        </w:rPr>
        <w:t>At an organisational level our individual advocates have had a chance to review procedures and raise practice issues through supervision and in staff meetings to ensure a continuous improvement of our advocacy practice. Our audit of services against the National Standards for Disability Services highlighted the great job of</w:t>
      </w:r>
    </w:p>
    <w:p>
      <w:pPr>
        <w:pStyle w:val="BodyText"/>
        <w:spacing w:before="1"/>
        <w:rPr>
          <w:sz w:val="13"/>
        </w:rPr>
      </w:pPr>
    </w:p>
    <w:p>
      <w:pPr>
        <w:pStyle w:val="BodyText"/>
        <w:spacing w:before="93"/>
        <w:ind w:left="2546"/>
      </w:pPr>
      <w:r>
        <w:rPr>
          <w:color w:val="44536A"/>
        </w:rPr>
        <w:t>Annual Report 2014 – 2015</w:t>
      </w:r>
    </w:p>
    <w:p>
      <w:pPr>
        <w:pStyle w:val="BodyText"/>
        <w:spacing w:before="26"/>
        <w:ind w:right="1214"/>
        <w:jc w:val="right"/>
      </w:pPr>
      <w:r>
        <w:rPr>
          <w:color w:val="44536A"/>
        </w:rPr>
        <w:t>Page 7</w:t>
      </w:r>
    </w:p>
    <w:p>
      <w:pPr>
        <w:spacing w:after="0"/>
        <w:jc w:val="right"/>
        <w:sectPr>
          <w:headerReference w:type="default" r:id="rId22"/>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59" w:lineRule="auto" w:before="92"/>
        <w:ind w:left="1440" w:right="1584"/>
        <w:jc w:val="both"/>
      </w:pPr>
      <w:r>
        <w:rPr>
          <w:color w:val="231F20"/>
        </w:rPr>
        <w:t>our individual advocates. I would like to take this opportunity to thank the team of advocates, both our permanent and casual staff, and the Senior Advocate for their understanding and value of our empowerment based model of advocacy, and their resilience and hard work. They are a great</w:t>
      </w:r>
      <w:r>
        <w:rPr>
          <w:color w:val="231F20"/>
          <w:spacing w:val="-12"/>
        </w:rPr>
        <w:t> </w:t>
      </w:r>
      <w:r>
        <w:rPr>
          <w:color w:val="231F20"/>
        </w:rPr>
        <w:t>team.</w:t>
      </w:r>
    </w:p>
    <w:p>
      <w:pPr>
        <w:pStyle w:val="BodyText"/>
        <w:spacing w:line="259" w:lineRule="auto" w:before="160"/>
        <w:ind w:left="1440" w:right="1575"/>
        <w:jc w:val="both"/>
      </w:pPr>
      <w:r>
        <w:rPr>
          <w:color w:val="231F20"/>
        </w:rPr>
        <w:t>At the systemic level we work in a number of different ways. It is often a matter of prioritising what issues we are working on proactively and what we are responding to from others. This year there were a number of important discussion papers and inquiries that it was important we responded to, which meant our proactive work was limited. However, I am proud to say that our strategic move to do the </w:t>
      </w:r>
      <w:r>
        <w:rPr>
          <w:color w:val="231F20"/>
          <w:spacing w:val="2"/>
        </w:rPr>
        <w:t>WA </w:t>
      </w:r>
      <w:r>
        <w:rPr>
          <w:color w:val="231F20"/>
        </w:rPr>
        <w:t>Disability Abuse Inquiry at the beginning of 2015 both informed submissions to the NDIS safeguarding discussion and Senate Inquiry into abuse and neglect, as well as provided us with a platform to proactively discuss those issues with service providers, HADSCO, DSC and others. This project and its recommendations will continue as many of the system changes and education required will take</w:t>
      </w:r>
      <w:r>
        <w:rPr>
          <w:color w:val="231F20"/>
          <w:spacing w:val="-2"/>
        </w:rPr>
        <w:t> </w:t>
      </w:r>
      <w:r>
        <w:rPr>
          <w:color w:val="231F20"/>
        </w:rPr>
        <w:t>time.</w:t>
      </w:r>
    </w:p>
    <w:p>
      <w:pPr>
        <w:pStyle w:val="BodyText"/>
        <w:spacing w:line="259" w:lineRule="auto" w:before="159"/>
        <w:ind w:left="1440" w:right="1573"/>
        <w:jc w:val="both"/>
      </w:pPr>
      <w:r>
        <w:rPr>
          <w:color w:val="231F20"/>
        </w:rPr>
        <w:t>Writing submissions in response to government papers on policy proposals does take up a large part of our systemic advocacy time. With uncertainty about advocacy funding it is of concern that the coordinated voice of people with disability that can draw on the experiences of those most vulnerable will be lost if systemic advocacy funding is reduced. Our report on systemic advocacy highlights the many submissions we have made as well as other systemic issues we have proactively pursued. I would like to take this opportunity to thank our systemic team for their hard work, and the consultants we have engaged to support our work. We are very lucky to have passionate advocates with the skills and experience to undertake this work.</w:t>
      </w:r>
    </w:p>
    <w:p>
      <w:pPr>
        <w:pStyle w:val="BodyText"/>
        <w:spacing w:line="259" w:lineRule="auto" w:before="157"/>
        <w:ind w:left="1440" w:right="1574"/>
        <w:jc w:val="both"/>
      </w:pPr>
      <w:r>
        <w:rPr>
          <w:color w:val="231F20"/>
        </w:rPr>
        <w:t>An important theme that has come through our systemic advocacy work this year is the need for independent formal individual advocacy. In the Senate Inquiry into the Adequacy of Existing Residential Care Arrangements Available for Young People with Severe Physical, Mental or Intellectual Disability in Australia the need for individual advocacy was highlighted by many submissions, as it was with the Senate Inquiry on Abuse and Neglect of People with Disability. The importance of individual advocacy was also highlighted in the National Safeguarding  Framework</w:t>
      </w:r>
      <w:r>
        <w:rPr>
          <w:color w:val="231F20"/>
          <w:spacing w:val="-1"/>
        </w:rPr>
        <w:t> </w:t>
      </w:r>
      <w:r>
        <w:rPr>
          <w:color w:val="231F20"/>
        </w:rPr>
        <w:t>consultation.</w:t>
      </w:r>
    </w:p>
    <w:p>
      <w:pPr>
        <w:pStyle w:val="BodyText"/>
        <w:spacing w:line="259" w:lineRule="auto" w:before="159"/>
        <w:ind w:left="1440" w:right="1573"/>
        <w:jc w:val="both"/>
      </w:pPr>
      <w:r>
        <w:rPr>
          <w:color w:val="231F20"/>
        </w:rPr>
        <w:t>We have also done a lot of work in collaboration this year as can be seen in our systemic and project reports. The WA Disability Abuse Inquiry was done in collaboration with Developmental Disability WA as were a number of submissions and work in the education issues space. We worked with National Disability Services and Headwest on the No Fault Third Party Insurance Campaign. We have built a strong relationship with Consumers of Mental Health WA and are working with them on the “Releasing Our Capacity” Project. We have also developed MOU’s with a number of agencies to maintain a strong advocacy sector and help achieve sustainability for advocacy and peers support groups. Thank you to the staff and Boards of the agencies we have worked with, it is</w:t>
      </w:r>
    </w:p>
    <w:p>
      <w:pPr>
        <w:pStyle w:val="BodyText"/>
        <w:rPr>
          <w:sz w:val="20"/>
        </w:rPr>
      </w:pPr>
    </w:p>
    <w:p>
      <w:pPr>
        <w:pStyle w:val="BodyText"/>
        <w:spacing w:before="224"/>
        <w:ind w:left="2186"/>
      </w:pPr>
      <w:r>
        <w:rPr>
          <w:color w:val="44536A"/>
        </w:rPr>
        <w:t>Annual Report 2014 – 2015</w:t>
      </w:r>
    </w:p>
    <w:p>
      <w:pPr>
        <w:pStyle w:val="BodyText"/>
        <w:spacing w:before="27"/>
        <w:ind w:right="1574"/>
        <w:jc w:val="right"/>
      </w:pPr>
      <w:r>
        <w:rPr>
          <w:color w:val="44536A"/>
        </w:rPr>
        <w:t>Page 8</w:t>
      </w:r>
    </w:p>
    <w:p>
      <w:pPr>
        <w:spacing w:after="0"/>
        <w:jc w:val="right"/>
        <w:sectPr>
          <w:headerReference w:type="default" r:id="rId24"/>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56" w:lineRule="auto" w:before="92"/>
        <w:ind w:left="1800" w:right="1227"/>
        <w:jc w:val="both"/>
      </w:pPr>
      <w:r>
        <w:rPr>
          <w:color w:val="231F20"/>
        </w:rPr>
        <w:t>important to know we are working together to ensure that people with disability are empowered and active citizens.</w:t>
      </w:r>
    </w:p>
    <w:p>
      <w:pPr>
        <w:pStyle w:val="BodyText"/>
        <w:spacing w:line="259" w:lineRule="auto" w:before="166"/>
        <w:ind w:left="1800" w:right="1216"/>
        <w:jc w:val="both"/>
      </w:pPr>
      <w:r>
        <w:rPr>
          <w:color w:val="231F20"/>
        </w:rPr>
        <w:t>Apart from our core funding for individual and systemic advocacy from DSC and DSS, we have also had project funding for work in specific areas. When applying for project funding it is always consistent with our strategic direction. These projects are detailed further in the report and include support for leadership and peer support by and for people with disabilities, and bringing the voice and experience of people with disability into research.</w:t>
      </w:r>
    </w:p>
    <w:p>
      <w:pPr>
        <w:pStyle w:val="BodyText"/>
        <w:spacing w:line="259" w:lineRule="auto" w:before="158"/>
        <w:ind w:left="1800" w:right="1216"/>
        <w:jc w:val="both"/>
      </w:pPr>
      <w:r>
        <w:rPr>
          <w:color w:val="231F20"/>
        </w:rPr>
        <w:t>There is also an element of our work which is unfunded. Our role as the peak body representing people with disability means we are often sought out by government and other bodies to be involved with advisory groups or make comments on policy. Although this often crosses over into systemic advocacy work it is not considered as advocacy by our funding bodies, but rather representational work. This representational work is extremely important in ensuring the voice of people with disability is heard at the policy and decision making levels. We also work to support people with disability to be leaders through support and encouragement of leadership groups, programs and mentoring as well as peer groups. Where possible it is the leaders from these groups and the Committee of Management that do the representational work and ensure it is people with disability who are speaking and being heard.</w:t>
      </w:r>
    </w:p>
    <w:p>
      <w:pPr>
        <w:pStyle w:val="BodyText"/>
        <w:spacing w:line="259" w:lineRule="auto" w:before="159"/>
        <w:ind w:left="1801" w:right="1221"/>
        <w:jc w:val="both"/>
      </w:pPr>
      <w:r>
        <w:rPr>
          <w:color w:val="231F20"/>
        </w:rPr>
        <w:t>As previously mentioned the future funding of advocacy is uncertain and part of the 2015 year has been spent strengthening our partnership with advocacy organisations and working on our future funding opportunities. We have put in a consortium bid for the DSC Individual Advocacy Tender with Advocacy South West and Sussex St Community Law Service. I am confident this will be successful and we will continue to provide advocacy from DSC funding after December 2015.</w:t>
      </w:r>
    </w:p>
    <w:p>
      <w:pPr>
        <w:pStyle w:val="BodyText"/>
        <w:spacing w:line="259" w:lineRule="auto" w:before="158"/>
        <w:ind w:left="1801" w:right="1214"/>
        <w:jc w:val="both"/>
      </w:pPr>
      <w:r>
        <w:rPr>
          <w:color w:val="231F20"/>
        </w:rPr>
        <w:t>Finally I would like to thank our Committee of Management. </w:t>
      </w:r>
      <w:r>
        <w:rPr>
          <w:color w:val="231F20"/>
          <w:spacing w:val="1"/>
        </w:rPr>
        <w:t>We </w:t>
      </w:r>
      <w:r>
        <w:rPr>
          <w:color w:val="231F20"/>
        </w:rPr>
        <w:t>are a unique organisation to have a Committee of Management with 100% people with disability, and the work they put in to keep our organisation focused and centred on the voice of people with disability is crucial. Putting into practice our values has seen an increase in the employment of people with disability and family members of people with disability this year up to over 75% of our</w:t>
      </w:r>
      <w:r>
        <w:rPr>
          <w:color w:val="231F20"/>
          <w:spacing w:val="-18"/>
        </w:rPr>
        <w:t> </w:t>
      </w:r>
      <w:r>
        <w:rPr>
          <w:color w:val="231F20"/>
        </w:rPr>
        <w:t>staff.</w:t>
      </w:r>
    </w:p>
    <w:p>
      <w:pPr>
        <w:pStyle w:val="BodyText"/>
        <w:spacing w:line="259" w:lineRule="auto" w:before="158"/>
        <w:ind w:left="1801" w:right="1212"/>
        <w:jc w:val="both"/>
      </w:pPr>
      <w:r>
        <w:rPr>
          <w:color w:val="231F20"/>
        </w:rPr>
        <w:t>It has been a busy but fulfilling year here at PWdWA and the future holds possibilities for us to provide more advocacy and continue advocating for the rights and empowering the voices of people with disability in WA. I hope our members, partners, stakeholders and supporters will continue to value PWdWA and the role we play as we value their support and input.</w:t>
      </w:r>
    </w:p>
    <w:p>
      <w:pPr>
        <w:pStyle w:val="BodyText"/>
        <w:spacing w:before="7"/>
        <w:rPr>
          <w:sz w:val="10"/>
        </w:rPr>
      </w:pPr>
      <w:r>
        <w:rPr/>
        <w:drawing>
          <wp:anchor distT="0" distB="0" distL="0" distR="0" allowOverlap="1" layoutInCell="1" locked="0" behindDoc="0" simplePos="0" relativeHeight="1384">
            <wp:simplePos x="0" y="0"/>
            <wp:positionH relativeFrom="page">
              <wp:posOffset>1143000</wp:posOffset>
            </wp:positionH>
            <wp:positionV relativeFrom="paragraph">
              <wp:posOffset>102559</wp:posOffset>
            </wp:positionV>
            <wp:extent cx="1716534" cy="603504"/>
            <wp:effectExtent l="0" t="0" r="0" b="0"/>
            <wp:wrapTopAndBottom/>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6" cstate="print"/>
                    <a:stretch>
                      <a:fillRect/>
                    </a:stretch>
                  </pic:blipFill>
                  <pic:spPr>
                    <a:xfrm>
                      <a:off x="0" y="0"/>
                      <a:ext cx="1716534" cy="603504"/>
                    </a:xfrm>
                    <a:prstGeom prst="rect">
                      <a:avLst/>
                    </a:prstGeom>
                  </pic:spPr>
                </pic:pic>
              </a:graphicData>
            </a:graphic>
          </wp:anchor>
        </w:drawing>
      </w:r>
    </w:p>
    <w:p>
      <w:pPr>
        <w:pStyle w:val="BodyText"/>
        <w:spacing w:before="158"/>
        <w:ind w:left="1801"/>
      </w:pPr>
      <w:r>
        <w:rPr>
          <w:color w:val="231F20"/>
        </w:rPr>
        <w:t>Samantha Jenkinson</w:t>
      </w:r>
    </w:p>
    <w:p>
      <w:pPr>
        <w:pStyle w:val="BodyText"/>
        <w:spacing w:before="211"/>
        <w:ind w:left="2546"/>
      </w:pPr>
      <w:r>
        <w:rPr>
          <w:color w:val="44536A"/>
        </w:rPr>
        <w:t>Annual Report 2014 – 2015</w:t>
      </w:r>
    </w:p>
    <w:p>
      <w:pPr>
        <w:pStyle w:val="BodyText"/>
        <w:spacing w:before="27"/>
        <w:ind w:right="1214"/>
        <w:jc w:val="right"/>
      </w:pPr>
      <w:r>
        <w:rPr>
          <w:color w:val="44536A"/>
        </w:rPr>
        <w:t>Page 9</w:t>
      </w:r>
    </w:p>
    <w:p>
      <w:pPr>
        <w:spacing w:after="0"/>
        <w:jc w:val="right"/>
        <w:sectPr>
          <w:headerReference w:type="default" r:id="rId25"/>
          <w:pgSz w:w="11910" w:h="16840"/>
          <w:pgMar w:header="0" w:footer="524" w:top="960" w:bottom="720" w:left="0" w:right="220"/>
        </w:sectPr>
      </w:pPr>
    </w:p>
    <w:p>
      <w:pPr>
        <w:pStyle w:val="BodyText"/>
        <w:rPr>
          <w:sz w:val="20"/>
        </w:rPr>
      </w:pPr>
    </w:p>
    <w:p>
      <w:pPr>
        <w:pStyle w:val="BodyText"/>
        <w:spacing w:before="2"/>
      </w:pPr>
    </w:p>
    <w:p>
      <w:pPr>
        <w:pStyle w:val="Heading1"/>
        <w:ind w:left="1440"/>
        <w:jc w:val="both"/>
      </w:pPr>
      <w:r>
        <w:rPr/>
        <w:pict>
          <v:group style="position:absolute;margin-left:70.584pt;margin-top:-24.028164pt;width:449.5pt;height:186.85pt;mso-position-horizontal-relative:page;mso-position-vertical-relative:paragraph;z-index:-84712" coordorigin="1412,-481" coordsize="8990,3737">
            <v:line style="position:absolute" from="1412,-476" to="10137,-476" stroked="true" strokeweight=".48pt" strokecolor="#231f20">
              <v:stroke dashstyle="solid"/>
            </v:line>
            <v:shape style="position:absolute;left:7543;top:-471;width:2859;height:3728" type="#_x0000_t75" stroked="false">
              <v:imagedata r:id="rId28" o:title=""/>
            </v:shape>
            <w10:wrap type="none"/>
          </v:group>
        </w:pict>
      </w:r>
      <w:bookmarkStart w:name="_TOC_250009" w:id="8"/>
      <w:bookmarkEnd w:id="8"/>
      <w:r>
        <w:rPr>
          <w:color w:val="231F20"/>
        </w:rPr>
        <w:t>Treasurers Report</w:t>
      </w:r>
    </w:p>
    <w:p>
      <w:pPr>
        <w:pStyle w:val="BodyText"/>
        <w:spacing w:line="259" w:lineRule="auto" w:before="90"/>
        <w:ind w:left="1440" w:right="4418"/>
        <w:jc w:val="both"/>
      </w:pPr>
      <w:r>
        <w:rPr>
          <w:color w:val="231F20"/>
        </w:rPr>
        <w:t>In the 2014 - 2015 financial year, PWdWA operated within its budget and fulfilled the contractual requirements of service level agreements with our  core funding agencies, the West Australian Disability Services Commission, and the Department of Social Services.</w:t>
      </w:r>
    </w:p>
    <w:p>
      <w:pPr>
        <w:pStyle w:val="BodyText"/>
        <w:spacing w:line="259" w:lineRule="auto" w:before="161"/>
        <w:ind w:left="1440" w:right="4410" w:hanging="1"/>
        <w:jc w:val="both"/>
      </w:pPr>
      <w:r>
        <w:rPr>
          <w:color w:val="231F20"/>
        </w:rPr>
        <w:t>PWdWA received funding from the Department of Social Services to assist with the cost of our Audit and supplementation to fulfil obligations to our staff employed under the SACs award scheme.</w:t>
      </w:r>
    </w:p>
    <w:p>
      <w:pPr>
        <w:pStyle w:val="BodyText"/>
        <w:spacing w:line="259" w:lineRule="auto" w:before="159"/>
        <w:ind w:left="1440" w:right="1573"/>
        <w:jc w:val="both"/>
      </w:pPr>
      <w:r>
        <w:rPr>
          <w:color w:val="231F20"/>
        </w:rPr>
        <w:t>PWdWA was the grateful recipient of additional non recurrent funds from Disability Service Commission in the final quarter of the 2013 – 2014 financial year. These funds are slowly being used to assist with the sustainability of our organisation.</w:t>
      </w:r>
    </w:p>
    <w:p>
      <w:pPr>
        <w:pStyle w:val="BodyText"/>
        <w:spacing w:line="256" w:lineRule="auto" w:before="159"/>
        <w:ind w:left="1441" w:right="1581"/>
        <w:jc w:val="both"/>
      </w:pPr>
      <w:r>
        <w:rPr>
          <w:color w:val="231F20"/>
        </w:rPr>
        <w:t>PWdWA has received one off grant funding for small projects, but was also successful in securing a two year project grant from the National Disability Insurance Agency in December 2014.</w:t>
      </w:r>
    </w:p>
    <w:p>
      <w:pPr>
        <w:pStyle w:val="BodyText"/>
        <w:spacing w:line="256" w:lineRule="auto" w:before="168"/>
        <w:ind w:left="1441" w:right="1572"/>
        <w:jc w:val="both"/>
      </w:pPr>
      <w:r>
        <w:rPr>
          <w:color w:val="231F20"/>
        </w:rPr>
        <w:t>The Committee of Management has remained active in overseeing the financial operation of the association. The audited accounts demonstrate that the organisation remains financially stable.</w:t>
      </w:r>
    </w:p>
    <w:p>
      <w:pPr>
        <w:pStyle w:val="BodyText"/>
        <w:spacing w:line="259" w:lineRule="auto" w:before="168"/>
        <w:ind w:left="1441" w:right="1575"/>
        <w:jc w:val="both"/>
      </w:pPr>
      <w:r>
        <w:rPr>
          <w:color w:val="231F20"/>
        </w:rPr>
        <w:t>The Committee of Management and operational staff would like to express thanks to Nulsen Independent Administration who have supported </w:t>
      </w:r>
      <w:r>
        <w:rPr>
          <w:color w:val="231F20"/>
          <w:spacing w:val="5"/>
        </w:rPr>
        <w:t>us </w:t>
      </w:r>
      <w:r>
        <w:rPr>
          <w:color w:val="231F20"/>
        </w:rPr>
        <w:t>with payroll and Patricia Loh Accounting who have assisted with our financial management throughout the year. </w:t>
      </w:r>
      <w:r>
        <w:rPr>
          <w:color w:val="231F20"/>
          <w:spacing w:val="1"/>
        </w:rPr>
        <w:t>We </w:t>
      </w:r>
      <w:r>
        <w:rPr>
          <w:color w:val="231F20"/>
        </w:rPr>
        <w:t>would also like to take this opportunity to thank Debra Sommerfeld, PWdWA Administration Assistant who keeps everything</w:t>
      </w:r>
      <w:r>
        <w:rPr>
          <w:color w:val="231F20"/>
          <w:spacing w:val="-31"/>
        </w:rPr>
        <w:t> </w:t>
      </w:r>
      <w:r>
        <w:rPr>
          <w:color w:val="231F20"/>
        </w:rPr>
        <w:t>organised.</w:t>
      </w:r>
    </w:p>
    <w:p>
      <w:pPr>
        <w:pStyle w:val="BodyText"/>
        <w:rPr>
          <w:sz w:val="20"/>
        </w:rPr>
      </w:pPr>
    </w:p>
    <w:p>
      <w:pPr>
        <w:pStyle w:val="BodyText"/>
        <w:spacing w:before="3"/>
        <w:rPr>
          <w:sz w:val="29"/>
        </w:rPr>
      </w:pPr>
      <w:r>
        <w:rPr/>
        <w:drawing>
          <wp:anchor distT="0" distB="0" distL="0" distR="0" allowOverlap="1" layoutInCell="1" locked="0" behindDoc="0" simplePos="0" relativeHeight="1408">
            <wp:simplePos x="0" y="0"/>
            <wp:positionH relativeFrom="page">
              <wp:posOffset>1325453</wp:posOffset>
            </wp:positionH>
            <wp:positionV relativeFrom="paragraph">
              <wp:posOffset>238765</wp:posOffset>
            </wp:positionV>
            <wp:extent cx="2044752" cy="280415"/>
            <wp:effectExtent l="0" t="0" r="0" b="0"/>
            <wp:wrapTopAndBottom/>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29" cstate="print"/>
                    <a:stretch>
                      <a:fillRect/>
                    </a:stretch>
                  </pic:blipFill>
                  <pic:spPr>
                    <a:xfrm>
                      <a:off x="0" y="0"/>
                      <a:ext cx="2044752" cy="280415"/>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2"/>
        </w:rPr>
      </w:pPr>
    </w:p>
    <w:p>
      <w:pPr>
        <w:pStyle w:val="BodyText"/>
        <w:ind w:left="1441"/>
        <w:jc w:val="both"/>
      </w:pPr>
      <w:r>
        <w:rPr>
          <w:color w:val="231F20"/>
        </w:rPr>
        <w:t>Monica McGhie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92"/>
        <w:ind w:left="2186"/>
      </w:pPr>
      <w:r>
        <w:rPr>
          <w:color w:val="44536A"/>
        </w:rPr>
        <w:t>Annual Report 2014 – 2015</w:t>
      </w:r>
    </w:p>
    <w:p>
      <w:pPr>
        <w:pStyle w:val="BodyText"/>
        <w:spacing w:before="26"/>
        <w:ind w:right="1573"/>
        <w:jc w:val="right"/>
      </w:pPr>
      <w:r>
        <w:rPr>
          <w:color w:val="44536A"/>
        </w:rPr>
        <w:t>Page 10</w:t>
      </w:r>
    </w:p>
    <w:p>
      <w:pPr>
        <w:spacing w:after="0"/>
        <w:jc w:val="right"/>
        <w:sectPr>
          <w:headerReference w:type="default" r:id="rId27"/>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pPr>
      <w:bookmarkStart w:name="_TOC_250008" w:id="9"/>
      <w:bookmarkEnd w:id="9"/>
      <w:r>
        <w:rPr>
          <w:color w:val="231F20"/>
        </w:rPr>
        <w:t>Membership</w:t>
      </w:r>
    </w:p>
    <w:p>
      <w:pPr>
        <w:pStyle w:val="BodyText"/>
        <w:spacing w:line="276" w:lineRule="auto" w:before="93"/>
        <w:ind w:left="1800" w:right="1221"/>
        <w:jc w:val="both"/>
      </w:pPr>
      <w:r>
        <w:rPr>
          <w:color w:val="231F20"/>
        </w:rPr>
        <w:t>This year the Committee of Management has focused on membership, with a recognition that although we work with hundreds of people with disability in our advocacy, our membership base needs to improve. A big change in our membership application process is that all individual memberships are now free. There is also a strong emphasis on people with disabilities being full members to reflect that PWdWA is a consumer based organisation and to encourage more individuals with disability to join the organisation.</w:t>
      </w:r>
    </w:p>
    <w:p>
      <w:pPr>
        <w:pStyle w:val="BodyText"/>
        <w:rPr>
          <w:sz w:val="20"/>
        </w:rPr>
      </w:pPr>
    </w:p>
    <w:p>
      <w:pPr>
        <w:pStyle w:val="BodyText"/>
        <w:rPr>
          <w:sz w:val="20"/>
        </w:rPr>
      </w:pPr>
    </w:p>
    <w:p>
      <w:pPr>
        <w:pStyle w:val="BodyText"/>
        <w:spacing w:before="7"/>
        <w:rPr>
          <w:sz w:val="22"/>
        </w:rPr>
      </w:pPr>
    </w:p>
    <w:tbl>
      <w:tblPr>
        <w:tblW w:w="0" w:type="auto"/>
        <w:jc w:val="left"/>
        <w:tblInd w:w="3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83"/>
      </w:tblGrid>
      <w:tr>
        <w:trPr>
          <w:trHeight w:val="515" w:hRule="atLeast"/>
        </w:trPr>
        <w:tc>
          <w:tcPr>
            <w:tcW w:w="3083" w:type="dxa"/>
          </w:tcPr>
          <w:p>
            <w:pPr>
              <w:pStyle w:val="TableParagraph"/>
              <w:spacing w:line="274" w:lineRule="exact"/>
              <w:ind w:left="107"/>
              <w:rPr>
                <w:rFonts w:ascii="Arial"/>
                <w:b/>
                <w:sz w:val="24"/>
              </w:rPr>
            </w:pPr>
            <w:r>
              <w:rPr>
                <w:rFonts w:ascii="Arial"/>
                <w:b/>
                <w:color w:val="231F20"/>
                <w:sz w:val="24"/>
              </w:rPr>
              <w:t>2015</w:t>
            </w:r>
          </w:p>
        </w:tc>
      </w:tr>
      <w:tr>
        <w:trPr>
          <w:trHeight w:val="518" w:hRule="atLeast"/>
        </w:trPr>
        <w:tc>
          <w:tcPr>
            <w:tcW w:w="3083" w:type="dxa"/>
          </w:tcPr>
          <w:p>
            <w:pPr>
              <w:pStyle w:val="TableParagraph"/>
              <w:spacing w:line="274" w:lineRule="exact"/>
              <w:ind w:left="107"/>
              <w:rPr>
                <w:rFonts w:ascii="Arial"/>
                <w:sz w:val="24"/>
              </w:rPr>
            </w:pPr>
            <w:r>
              <w:rPr>
                <w:rFonts w:ascii="Arial"/>
                <w:color w:val="231F20"/>
                <w:sz w:val="24"/>
              </w:rPr>
              <w:t>12 Life Members</w:t>
            </w:r>
          </w:p>
        </w:tc>
      </w:tr>
      <w:tr>
        <w:trPr>
          <w:trHeight w:val="518" w:hRule="atLeast"/>
        </w:trPr>
        <w:tc>
          <w:tcPr>
            <w:tcW w:w="3083" w:type="dxa"/>
          </w:tcPr>
          <w:p>
            <w:pPr>
              <w:pStyle w:val="TableParagraph"/>
              <w:spacing w:line="274" w:lineRule="exact"/>
              <w:ind w:left="107"/>
              <w:rPr>
                <w:rFonts w:ascii="Arial"/>
                <w:sz w:val="24"/>
              </w:rPr>
            </w:pPr>
            <w:r>
              <w:rPr>
                <w:rFonts w:ascii="Arial"/>
                <w:color w:val="231F20"/>
                <w:sz w:val="24"/>
              </w:rPr>
              <w:t>122 Individuals</w:t>
            </w:r>
          </w:p>
        </w:tc>
      </w:tr>
      <w:tr>
        <w:trPr>
          <w:trHeight w:val="515" w:hRule="atLeast"/>
        </w:trPr>
        <w:tc>
          <w:tcPr>
            <w:tcW w:w="3083" w:type="dxa"/>
          </w:tcPr>
          <w:p>
            <w:pPr>
              <w:pStyle w:val="TableParagraph"/>
              <w:spacing w:line="274" w:lineRule="exact"/>
              <w:ind w:left="107"/>
              <w:rPr>
                <w:rFonts w:ascii="Arial"/>
                <w:sz w:val="24"/>
              </w:rPr>
            </w:pPr>
            <w:r>
              <w:rPr>
                <w:rFonts w:ascii="Arial"/>
                <w:color w:val="231F20"/>
                <w:sz w:val="24"/>
              </w:rPr>
              <w:t>5 Organisations</w:t>
            </w:r>
          </w:p>
        </w:tc>
      </w:tr>
      <w:tr>
        <w:trPr>
          <w:trHeight w:val="517" w:hRule="atLeast"/>
        </w:trPr>
        <w:tc>
          <w:tcPr>
            <w:tcW w:w="3083" w:type="dxa"/>
          </w:tcPr>
          <w:p>
            <w:pPr>
              <w:pStyle w:val="TableParagraph"/>
              <w:ind w:left="107"/>
              <w:rPr>
                <w:rFonts w:ascii="Arial"/>
                <w:b/>
                <w:sz w:val="24"/>
              </w:rPr>
            </w:pPr>
            <w:r>
              <w:rPr>
                <w:rFonts w:ascii="Arial"/>
                <w:b/>
                <w:color w:val="231F20"/>
                <w:sz w:val="24"/>
              </w:rPr>
              <w:t>139</w:t>
            </w:r>
            <w:r>
              <w:rPr>
                <w:rFonts w:ascii="Arial"/>
                <w:b/>
                <w:color w:val="231F20"/>
                <w:spacing w:val="65"/>
                <w:sz w:val="24"/>
              </w:rPr>
              <w:t> </w:t>
            </w:r>
            <w:r>
              <w:rPr>
                <w:rFonts w:ascii="Arial"/>
                <w:b/>
                <w:color w:val="231F20"/>
                <w:sz w:val="24"/>
              </w:rPr>
              <w:t>members</w:t>
            </w:r>
          </w:p>
        </w:tc>
      </w:tr>
    </w:tbl>
    <w:p>
      <w:pPr>
        <w:pStyle w:val="BodyText"/>
        <w:rPr>
          <w:sz w:val="20"/>
        </w:rPr>
      </w:pPr>
    </w:p>
    <w:p>
      <w:pPr>
        <w:pStyle w:val="BodyText"/>
        <w:spacing w:before="10"/>
        <w:rPr>
          <w:sz w:val="16"/>
        </w:rPr>
      </w:pPr>
    </w:p>
    <w:p>
      <w:pPr>
        <w:pStyle w:val="BodyText"/>
        <w:spacing w:line="276" w:lineRule="auto" w:before="92"/>
        <w:ind w:left="1800" w:right="1215"/>
      </w:pPr>
      <w:r>
        <w:rPr>
          <w:color w:val="231F20"/>
        </w:rPr>
        <w:t>The membership is increasing slowly. With targeted advertising and brand awareness we will see the membership increase steadily.</w:t>
      </w:r>
    </w:p>
    <w:p>
      <w:pPr>
        <w:pStyle w:val="BodyText"/>
        <w:spacing w:before="5"/>
        <w:rPr>
          <w:sz w:val="21"/>
        </w:rPr>
      </w:pPr>
      <w:r>
        <w:rPr/>
        <w:drawing>
          <wp:anchor distT="0" distB="0" distL="0" distR="0" allowOverlap="1" layoutInCell="1" locked="0" behindDoc="0" simplePos="0" relativeHeight="1480">
            <wp:simplePos x="0" y="0"/>
            <wp:positionH relativeFrom="page">
              <wp:posOffset>1214627</wp:posOffset>
            </wp:positionH>
            <wp:positionV relativeFrom="paragraph">
              <wp:posOffset>181539</wp:posOffset>
            </wp:positionV>
            <wp:extent cx="4690871" cy="3721607"/>
            <wp:effectExtent l="0" t="0" r="0" b="0"/>
            <wp:wrapTopAndBottom/>
            <wp:docPr id="15" name="image19.jpeg" descr=""/>
            <wp:cNvGraphicFramePr>
              <a:graphicFrameLocks noChangeAspect="1"/>
            </wp:cNvGraphicFramePr>
            <a:graphic>
              <a:graphicData uri="http://schemas.openxmlformats.org/drawingml/2006/picture">
                <pic:pic>
                  <pic:nvPicPr>
                    <pic:cNvPr id="16" name="image19.jpeg"/>
                    <pic:cNvPicPr/>
                  </pic:nvPicPr>
                  <pic:blipFill>
                    <a:blip r:embed="rId31" cstate="print"/>
                    <a:stretch>
                      <a:fillRect/>
                    </a:stretch>
                  </pic:blipFill>
                  <pic:spPr>
                    <a:xfrm>
                      <a:off x="0" y="0"/>
                      <a:ext cx="4690871" cy="3721607"/>
                    </a:xfrm>
                    <a:prstGeom prst="rect">
                      <a:avLst/>
                    </a:prstGeom>
                  </pic:spPr>
                </pic:pic>
              </a:graphicData>
            </a:graphic>
          </wp:anchor>
        </w:drawing>
      </w:r>
    </w:p>
    <w:p>
      <w:pPr>
        <w:pStyle w:val="BodyText"/>
        <w:spacing w:before="60"/>
        <w:ind w:left="2220"/>
      </w:pPr>
      <w:r>
        <w:rPr>
          <w:color w:val="231F20"/>
        </w:rPr>
        <w:t>Monica McGhie and Lisa Burnette at a peer forum</w:t>
      </w:r>
    </w:p>
    <w:p>
      <w:pPr>
        <w:pStyle w:val="BodyText"/>
        <w:spacing w:before="3"/>
        <w:rPr>
          <w:sz w:val="21"/>
        </w:rPr>
      </w:pPr>
    </w:p>
    <w:p>
      <w:pPr>
        <w:pStyle w:val="BodyText"/>
        <w:ind w:left="2546"/>
      </w:pPr>
      <w:r>
        <w:rPr>
          <w:color w:val="44536A"/>
        </w:rPr>
        <w:t>Annual Report 2014 – 2015</w:t>
      </w:r>
    </w:p>
    <w:p>
      <w:pPr>
        <w:pStyle w:val="BodyText"/>
        <w:spacing w:before="26"/>
        <w:ind w:right="1213"/>
        <w:jc w:val="right"/>
      </w:pPr>
      <w:r>
        <w:rPr>
          <w:color w:val="44536A"/>
        </w:rPr>
        <w:t>Page 11</w:t>
      </w:r>
    </w:p>
    <w:p>
      <w:pPr>
        <w:spacing w:after="0"/>
        <w:jc w:val="right"/>
        <w:sectPr>
          <w:headerReference w:type="default" r:id="rId30"/>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ind w:left="1440"/>
        <w:jc w:val="both"/>
      </w:pPr>
      <w:bookmarkStart w:name="_TOC_250007" w:id="10"/>
      <w:bookmarkEnd w:id="10"/>
      <w:r>
        <w:rPr>
          <w:color w:val="231F20"/>
        </w:rPr>
        <w:t>Individual Advocacy</w:t>
      </w:r>
    </w:p>
    <w:p>
      <w:pPr>
        <w:pStyle w:val="Heading4"/>
        <w:spacing w:line="276" w:lineRule="auto" w:before="93"/>
        <w:ind w:left="1440" w:right="1575" w:hanging="1"/>
      </w:pPr>
      <w:r>
        <w:rPr>
          <w:i/>
          <w:color w:val="231F20"/>
        </w:rPr>
        <w:t>Our individual advocacy staff for 2014 - 2015 included Carmen Pratts- </w:t>
      </w:r>
      <w:r>
        <w:rPr>
          <w:color w:val="231F20"/>
        </w:rPr>
        <w:t>Hincks as Senior Advocate, and Carol Franklin, Lisa Hook, Christina  Wright, Natalie Turner, Judy Russell, Gio Terni, Rachael Cox, Bronwyn Lines, Nicole Wooldridge and Stacey Sheridan as Individual</w:t>
      </w:r>
      <w:r>
        <w:rPr>
          <w:color w:val="231F20"/>
          <w:spacing w:val="-11"/>
        </w:rPr>
        <w:t> </w:t>
      </w:r>
      <w:r>
        <w:rPr>
          <w:color w:val="231F20"/>
        </w:rPr>
        <w:t>Advocates.</w:t>
      </w:r>
    </w:p>
    <w:p>
      <w:pPr>
        <w:pStyle w:val="BodyText"/>
        <w:spacing w:line="276" w:lineRule="auto" w:before="199"/>
        <w:ind w:left="1441" w:right="1574" w:hanging="1"/>
        <w:jc w:val="both"/>
      </w:pPr>
      <w:r>
        <w:rPr>
          <w:color w:val="231F20"/>
        </w:rPr>
        <w:t>PWdWA’s Individual Advocacy team provides free, independent, issue based and confidential non-legal advocacy for people with disabilities living in Western Australia. PWdWA focus on advocating alongside people with disabilities who are most vulnerable or at risk, with an empowerment based model of advocacy.</w:t>
      </w:r>
    </w:p>
    <w:p>
      <w:pPr>
        <w:pStyle w:val="BodyText"/>
        <w:spacing w:line="276" w:lineRule="auto" w:before="202"/>
        <w:ind w:left="1441" w:right="1576" w:hanging="1"/>
        <w:jc w:val="both"/>
      </w:pPr>
      <w:r>
        <w:rPr>
          <w:color w:val="231F20"/>
        </w:rPr>
        <w:t>Working with people with disabilities to achieve positive outcomes is the priority  of PWdWA. Advocates research relevant and up-to-date information so people make their own informed decisions. Information is provided to individuals, family members and others that want to know more about the services that PWdWA  and other agencies in the community can offer. Information is made available by phone, face to face, email and social media. Information and supported referrals are provided to around 300 people each year on top of our complex</w:t>
      </w:r>
      <w:r>
        <w:rPr>
          <w:color w:val="231F20"/>
          <w:spacing w:val="-31"/>
        </w:rPr>
        <w:t> </w:t>
      </w:r>
      <w:r>
        <w:rPr>
          <w:color w:val="231F20"/>
        </w:rPr>
        <w:t>advocacy.</w:t>
      </w:r>
    </w:p>
    <w:p>
      <w:pPr>
        <w:pStyle w:val="BodyText"/>
        <w:spacing w:line="276" w:lineRule="auto" w:before="200"/>
        <w:ind w:left="1441" w:right="1571"/>
        <w:jc w:val="both"/>
      </w:pPr>
      <w:r>
        <w:rPr>
          <w:color w:val="231F20"/>
        </w:rPr>
        <w:t>With each issue, advocates work closely with the person to develop an individualised action plan which outlines the roles and responsibilities of all stakeholders involved and actions to be followed. As part of their role, individual advocates communicate with relevant stakeholders and attend meetings. They also do pre-meeting preparation and ensure agreements are reached. With the support of their individual advocate, the person with a disability learns about their rights, services that are available to them, and develops self-advocacy strategies they can use in the future.</w:t>
      </w:r>
    </w:p>
    <w:p>
      <w:pPr>
        <w:pStyle w:val="BodyText"/>
        <w:spacing w:line="276" w:lineRule="auto" w:before="200"/>
        <w:ind w:left="1442" w:right="1575" w:hanging="1"/>
        <w:jc w:val="both"/>
      </w:pPr>
      <w:r>
        <w:rPr>
          <w:color w:val="231F20"/>
        </w:rPr>
        <w:t>In 2014-2015 PWdWA provided Individual Advocacy with funding from the Disability Services Commission (DSC) and the Department of Social Services (DSS). The funding allowed us to work on a broad range of issues that are faced by people with disabilities in Western Australia.</w:t>
      </w:r>
    </w:p>
    <w:p>
      <w:pPr>
        <w:pStyle w:val="BodyText"/>
        <w:spacing w:before="10"/>
        <w:rPr>
          <w:sz w:val="20"/>
        </w:rPr>
      </w:pPr>
    </w:p>
    <w:p>
      <w:pPr>
        <w:pStyle w:val="Heading4"/>
        <w:ind w:left="1442"/>
        <w:rPr>
          <w:i/>
        </w:rPr>
      </w:pPr>
      <w:r>
        <w:rPr>
          <w:i/>
          <w:color w:val="231F20"/>
        </w:rPr>
        <w:t>Individual Advocacy funded by DSC</w:t>
      </w:r>
    </w:p>
    <w:p>
      <w:pPr>
        <w:pStyle w:val="BodyText"/>
        <w:spacing w:line="276" w:lineRule="auto" w:before="120"/>
        <w:ind w:left="1442" w:right="1574"/>
        <w:jc w:val="both"/>
      </w:pPr>
      <w:r>
        <w:rPr>
          <w:color w:val="231F20"/>
        </w:rPr>
        <w:t>PWdWA advocated with 177 individuals across Western Australia most of them being complex issues. The areas of major concern were complaints in regards to service provision (individuals raising concerns to disability service providers), discrimination or rights (non-legal advocacy at the Equal Opportunities Commission, Human Rights Commission and work with the Disability Discrimination Unit) and housing or accommodation (link people with tenant advocates). Most of the people that received our services had a physical, neurological or psychiatric disability.</w:t>
      </w:r>
    </w:p>
    <w:p>
      <w:pPr>
        <w:pStyle w:val="BodyText"/>
        <w:spacing w:line="276" w:lineRule="auto" w:before="203"/>
        <w:ind w:left="1443" w:right="1580"/>
        <w:jc w:val="both"/>
      </w:pPr>
      <w:r>
        <w:rPr>
          <w:color w:val="231F20"/>
        </w:rPr>
        <w:t>Individual Advocates work with people with disability to ensure that they are able to raise their concerns to their service providers without fear of retribution and</w:t>
      </w:r>
    </w:p>
    <w:p>
      <w:pPr>
        <w:pStyle w:val="BodyText"/>
        <w:spacing w:before="111"/>
        <w:ind w:left="52" w:right="4425"/>
        <w:jc w:val="center"/>
      </w:pPr>
      <w:r>
        <w:rPr>
          <w:color w:val="44536A"/>
        </w:rPr>
        <w:t>Annual Report 2014 – 2015</w:t>
      </w:r>
    </w:p>
    <w:p>
      <w:pPr>
        <w:pStyle w:val="BodyText"/>
        <w:spacing w:before="27"/>
        <w:ind w:right="1573"/>
        <w:jc w:val="right"/>
      </w:pPr>
      <w:r>
        <w:rPr>
          <w:color w:val="44536A"/>
        </w:rPr>
        <w:t>Page 12</w:t>
      </w:r>
    </w:p>
    <w:p>
      <w:pPr>
        <w:spacing w:after="0"/>
        <w:jc w:val="right"/>
        <w:sectPr>
          <w:headerReference w:type="default" r:id="rId32"/>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800" w:right="1216"/>
        <w:jc w:val="both"/>
      </w:pPr>
      <w:r>
        <w:rPr>
          <w:color w:val="231F20"/>
        </w:rPr>
        <w:t>reach outcomes that meet their expectations and improve the quality of services received.</w:t>
      </w:r>
    </w:p>
    <w:p>
      <w:pPr>
        <w:pStyle w:val="BodyText"/>
        <w:spacing w:line="276" w:lineRule="auto" w:before="201"/>
        <w:ind w:left="1800" w:right="1212"/>
        <w:jc w:val="both"/>
      </w:pPr>
      <w:r>
        <w:rPr>
          <w:color w:val="231F20"/>
        </w:rPr>
        <w:t>An example of our advocacy work in partnership can be seen where in collaboration with the Health Consumers’ Council one of our advocates travelled to Broome to meet with people with disabilities and their families to discuss their issues and look at ways to advocate together in order to achieve their goals. The work was continued from Perth via teleconferences, emails and ongoing communication.</w:t>
      </w:r>
    </w:p>
    <w:p>
      <w:pPr>
        <w:pStyle w:val="BodyText"/>
        <w:rPr>
          <w:sz w:val="20"/>
        </w:rPr>
      </w:pPr>
    </w:p>
    <w:p>
      <w:pPr>
        <w:pStyle w:val="BodyText"/>
        <w:rPr>
          <w:sz w:val="20"/>
        </w:rPr>
      </w:pPr>
    </w:p>
    <w:p>
      <w:pPr>
        <w:pStyle w:val="BodyText"/>
        <w:rPr>
          <w:sz w:val="20"/>
        </w:rPr>
      </w:pPr>
    </w:p>
    <w:p>
      <w:pPr>
        <w:pStyle w:val="Heading3"/>
        <w:spacing w:line="240" w:lineRule="auto" w:before="219"/>
        <w:ind w:left="5689"/>
      </w:pPr>
      <w:r>
        <w:rPr/>
        <w:pict>
          <v:shape style="position:absolute;margin-left:91.5pt;margin-top:-15.374114pt;width:451.3pt;height:458.25pt;mso-position-horizontal-relative:page;mso-position-vertical-relative:paragraph;z-index:-84592" coordorigin="1830,-307" coordsize="9026,9165" path="m1830,1144l1832,1069,1837,995,1847,923,1859,851,1876,781,1895,712,1918,645,1944,579,1973,515,2005,452,2040,391,2078,332,2118,275,2161,221,2207,168,2255,118,2305,70,2358,24,2413,-19,2470,-60,2529,-97,2590,-132,2652,-164,2716,-193,2782,-219,2850,-242,2919,-262,2989,-278,3060,-291,3133,-300,3207,-306,3281,-307,9405,-307,9479,-306,9553,-300,9626,-291,9697,-278,9767,-262,9836,-242,9904,-219,9970,-193,10034,-164,10096,-132,10157,-97,10216,-60,10273,-19,10328,24,10381,70,10431,118,10479,168,10525,221,10568,275,10608,332,10646,391,10681,452,10713,515,10742,579,10768,645,10791,712,10810,781,10827,851,10839,923,10849,995,10854,1069,10856,1144,10856,7406,10854,7481,10849,7555,10839,7627,10827,7699,10810,7769,10791,7838,10768,7905,10742,7971,10713,8035,10681,8098,10646,8159,10608,8218,10568,8275,10525,8329,10479,8382,10431,8432,10381,8480,10328,8526,10273,8569,10216,8610,10157,8647,10096,8682,10034,8714,9970,8743,9904,8769,9836,8792,9767,8812,9697,8828,9626,8841,9553,8850,9479,8856,9405,8858,3281,8858,3207,8856,3133,8850,3060,8841,2989,8828,2919,8812,2850,8792,2782,8769,2716,8743,2652,8714,2590,8682,2529,8647,2470,8610,2413,8569,2358,8526,2305,8480,2255,8432,2207,8382,2161,8329,2118,8275,2078,8218,2040,8159,2005,8098,1973,8035,1944,7971,1918,7905,1895,7838,1876,7769,1859,7699,1847,7627,1837,7555,1832,7481,1830,7406,1830,1144xe" filled="false" stroked="true" strokeweight="3pt" strokecolor="#8063a1">
            <v:path arrowok="t"/>
            <v:stroke dashstyle="solid"/>
            <w10:wrap type="none"/>
          </v:shape>
        </w:pict>
      </w:r>
      <w:r>
        <w:rPr>
          <w:color w:val="231F20"/>
        </w:rPr>
        <w:t>Case Study</w:t>
      </w:r>
    </w:p>
    <w:p>
      <w:pPr>
        <w:pStyle w:val="BodyText"/>
        <w:spacing w:before="10"/>
        <w:rPr>
          <w:b/>
          <w:sz w:val="20"/>
        </w:rPr>
      </w:pPr>
    </w:p>
    <w:p>
      <w:pPr>
        <w:pStyle w:val="BodyText"/>
        <w:spacing w:line="276" w:lineRule="auto" w:before="1"/>
        <w:ind w:left="2428" w:right="1423"/>
        <w:jc w:val="both"/>
      </w:pPr>
      <w:r>
        <w:rPr>
          <w:color w:val="231F20"/>
        </w:rPr>
        <w:t>Jane is a vulnerable woman with no family or friends support. She has a high-level physical disability and is non-verbal with limited literacy skills. She has been living in a group home since her mother died. The situation with the service provider was at crisis point due to communication breakdowns between Jane and the service provider. Jane was at risk of ending up in a nursing home at a young age. She wanted to move out of the group home, where she felt she had no choice and control and was very unhappy. Her goal was to live independently in the community and be able to choose support workers and a service provider that will encourage her to achieve her goals and aspirations. Over a number of meetings, an action plan was developed to reflect this goal. PWdWA Individual Advocate supported Jane to get in contact with service providers that support people living in the community to find out which one could assist her to live the life the she aspired. The Advocate set up meetings, found information and supported Jane with working out the questions she wanted to ask and identifying the issues she would need to work through to achieve her goa. PWdWA advocated alongside Jane through the transition process from the group home into the community, worked in collaboration with her and her new service provider to apply for additional Combined Application Process funding (CAP), and to develop person-centred plans. The result was that by working with the Advocate, Jane was able to reach her goal of living and participating in her community. Jane was able to decide how this happened and was the one making decisions. Her goals and choices were</w:t>
      </w:r>
      <w:r>
        <w:rPr>
          <w:color w:val="231F20"/>
          <w:spacing w:val="-11"/>
        </w:rPr>
        <w:t> </w:t>
      </w:r>
      <w:r>
        <w:rPr>
          <w:color w:val="231F20"/>
        </w:rPr>
        <w:t>validated.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before="92"/>
        <w:ind w:left="2546"/>
      </w:pPr>
      <w:r>
        <w:rPr>
          <w:color w:val="44536A"/>
        </w:rPr>
        <w:t>Annual Report 2014 – 2015</w:t>
      </w:r>
    </w:p>
    <w:p>
      <w:pPr>
        <w:pStyle w:val="BodyText"/>
        <w:spacing w:before="26"/>
        <w:ind w:right="1213"/>
        <w:jc w:val="right"/>
      </w:pPr>
      <w:r>
        <w:rPr>
          <w:color w:val="44536A"/>
        </w:rPr>
        <w:t>Page 13</w:t>
      </w:r>
    </w:p>
    <w:p>
      <w:pPr>
        <w:spacing w:after="0"/>
        <w:jc w:val="right"/>
        <w:sectPr>
          <w:headerReference w:type="default" r:id="rId33"/>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rPr>
          <w:sz w:val="20"/>
        </w:rPr>
      </w:pPr>
    </w:p>
    <w:p>
      <w:pPr>
        <w:pStyle w:val="BodyText"/>
        <w:spacing w:before="2"/>
        <w:rPr>
          <w:sz w:val="12"/>
        </w:rPr>
      </w:pPr>
      <w:r>
        <w:rPr/>
        <w:pict>
          <v:group style="position:absolute;margin-left:71.625pt;margin-top:9.008074pt;width:454.65pt;height:333pt;mso-position-horizontal-relative:page;mso-position-vertical-relative:paragraph;z-index:1792;mso-wrap-distance-left:0;mso-wrap-distance-right:0" coordorigin="1433,180" coordsize="9093,6660">
            <v:shape style="position:absolute;left:6072;top:2047;width:1287;height:1378" coordorigin="6073,2047" coordsize="1287,1378" path="m6073,2047l6073,3425,7360,2935,7330,2863,7297,2794,7260,2727,7220,2662,7176,2601,7130,2542,7080,2485,7027,2432,6972,2382,6914,2335,6854,2291,6792,2250,6727,2213,6661,2179,6592,2149,6522,2123,6450,2100,6377,2081,6303,2067,6227,2056,6150,2050,6073,2047xe" filled="true" fillcolor="#5088bb" stroked="false">
              <v:path arrowok="t"/>
              <v:fill type="solid"/>
            </v:shape>
            <v:shape style="position:absolute;left:6220;top:3190;width:1377;height:770" coordorigin="6221,3191" coordsize="1377,770" path="m7508,3191l6221,3681,7569,3960,7583,3883,7592,3805,7597,3727,7597,3649,7593,3571,7585,3493,7572,3416,7555,3340,7533,3265,7508,3191xe" filled="true" fillcolor="#d26d2a" stroked="false">
              <v:path arrowok="t"/>
              <v:fill type="solid"/>
            </v:shape>
            <v:shape style="position:absolute;left:6194;top:3842;width:1349;height:772" coordorigin="6195,3842" coordsize="1349,772" path="m6195,3842l7335,4614,7377,4549,7414,4482,7448,4413,7478,4342,7504,4270,7526,4196,7543,4121,6195,3842xe" filled="true" fillcolor="#a2a4a6" stroked="false">
              <v:path arrowok="t"/>
              <v:fill type="solid"/>
            </v:shape>
            <v:shape style="position:absolute;left:6144;top:3925;width:1141;height:961" coordorigin="6144,3926" coordsize="1141,961" path="m6144,3926l7131,4886,7173,4842,7212,4795,7250,4747,7285,4697,6144,3926xe" filled="true" fillcolor="#e1aa00" stroked="false">
              <v:path arrowok="t"/>
              <v:fill type="solid"/>
            </v:shape>
            <v:shape style="position:absolute;left:6119;top:3952;width:987;height:996" coordorigin="6120,3953" coordsize="987,996" path="m6120,3953l7072,4948,7106,4914,6120,3953xe" filled="true" fillcolor="#3a63ac" stroked="false">
              <v:path arrowok="t"/>
              <v:fill type="solid"/>
            </v:shape>
            <v:shape style="position:absolute;left:6110;top:3961;width:952;height:1029" coordorigin="6111,3961" coordsize="952,1029" path="m6111,3961l7027,4990,7063,4956,6111,3961xe" filled="true" fillcolor="#61993d" stroked="false">
              <v:path arrowok="t"/>
              <v:fill type="solid"/>
            </v:shape>
            <v:shape style="position:absolute;left:4961;top:4052;width:1833;height:1377" coordorigin="4961,4053" coordsize="1833,1377" path="m5877,4053l4961,5081,5020,5131,5081,5177,5144,5219,5209,5257,5275,5291,5343,5322,5412,5349,5482,5372,5552,5391,5624,5406,5696,5418,5768,5425,5841,5429,5914,5429,5986,5425,6059,5418,6131,5406,6202,5391,6273,5372,6343,5349,6412,5322,6479,5291,6546,5257,6610,5219,6673,5177,6734,5131,6793,5081,5877,4053xe" filled="true" fillcolor="#96b8df" stroked="false">
              <v:path arrowok="t"/>
              <v:fill type="solid"/>
            </v:shape>
            <v:shape style="position:absolute;left:4164;top:3248;width:1378;height:1564" coordorigin="4164,3248" coordsize="1378,1564" path="m4273,3248l4245,3320,4221,3392,4202,3465,4186,3538,4175,3612,4168,3685,4164,3759,4165,3833,4170,3906,4178,3979,4190,4051,4207,4123,4226,4193,4250,4263,4277,4331,4308,4398,4343,4463,4381,4526,4423,4588,4469,4648,4517,4705,4570,4760,4625,4812,5541,3784,4273,3248xe" filled="true" fillcolor="#f0a789" stroked="false">
              <v:path arrowok="t"/>
              <v:fill type="solid"/>
            </v:shape>
            <v:shape style="position:absolute;left:4418;top:2044;width:1269;height:1378" coordorigin="4418,2044" coordsize="1269,1378" path="m5687,2044l5608,2046,5530,2053,5454,2064,5378,2079,5304,2098,5231,2122,5160,2149,5090,2180,5023,2215,4957,2253,4894,2295,4834,2340,4775,2389,4720,2441,4667,2496,4617,2554,4571,2615,4527,2679,4487,2745,4451,2814,4418,2886,5687,3421,5687,2044xe" filled="true" fillcolor="#c6c8ca" stroked="false">
              <v:path arrowok="t"/>
              <v:fill type="solid"/>
            </v:shape>
            <v:shape style="position:absolute;left:7464;top:4063;width:790;height:315" coordorigin="7464,4064" coordsize="790,315" path="m7464,4378l8162,4064,8254,4064e" filled="false" stroked="true" strokeweight=".72pt" strokecolor="#b2b4b6">
              <v:path arrowok="t"/>
              <v:stroke dashstyle="solid"/>
            </v:shape>
            <v:shape style="position:absolute;left:7212;top:4584;width:1066;height:212" coordorigin="7212,4584" coordsize="1066,212" path="m7212,4796l8186,4584,8278,4584e" filled="false" stroked="true" strokeweight=".72pt" strokecolor="#b2b4b6">
              <v:path arrowok="t"/>
              <v:stroke dashstyle="solid"/>
            </v:shape>
            <v:shape style="position:absolute;left:7044;top:4973;width:2;height:941" coordorigin="7044,4973" coordsize="0,941" path="m7044,4973l7044,5825,7044,5914e" filled="false" stroked="true" strokeweight=".72pt" strokecolor="#b2b4b6">
              <v:path arrowok="t"/>
              <v:stroke dashstyle="solid"/>
            </v:shape>
            <v:shape style="position:absolute;left:5719;top:5429;width:159;height:332" coordorigin="5719,5429" coordsize="159,332" path="m5878,5429l5808,5760,5719,5760e" filled="false" stroked="true" strokeweight=".72pt" strokecolor="#b2b4b6">
              <v:path arrowok="t"/>
              <v:stroke dashstyle="solid"/>
            </v:shape>
            <v:rect style="position:absolute;left:7699;top:3398;width:101;height:101" filled="true" fillcolor="#d26d2a" stroked="false">
              <v:fill type="solid"/>
            </v:rect>
            <v:rect style="position:absolute;left:8344;top:3938;width:101;height:101" filled="true" fillcolor="#a2a4a6" stroked="false">
              <v:fill type="solid"/>
            </v:rect>
            <v:rect style="position:absolute;left:8371;top:4457;width:101;height:101" filled="true" fillcolor="#e1aa00" stroked="false">
              <v:fill type="solid"/>
            </v:rect>
            <v:rect style="position:absolute;left:7176;top:5018;width:101;height:101" filled="true" fillcolor="#3a63ac" stroked="false">
              <v:fill type="solid"/>
            </v:rect>
            <v:rect style="position:absolute;left:6396;top:5978;width:101;height:101" filled="true" fillcolor="#61993d" stroked="false">
              <v:fill type="solid"/>
            </v:rect>
            <v:rect style="position:absolute;left:4682;top:5633;width:99;height:101" filled="true" fillcolor="#96b8df" stroked="false">
              <v:fill type="solid"/>
            </v:rect>
            <v:rect style="position:absolute;left:6936;top:1853;width:101;height:101" filled="true" fillcolor="#5088bb" stroked="false">
              <v:fill type="solid"/>
            </v:rect>
            <v:rect style="position:absolute;left:2736;top:3922;width:101;height:101" filled="true" fillcolor="#f0a789" stroked="false">
              <v:fill type="solid"/>
            </v:rect>
            <v:rect style="position:absolute;left:3636;top:1838;width:101;height:101" filled="true" fillcolor="#c6c8ca" stroked="false">
              <v:fill type="solid"/>
            </v:rect>
            <v:rect style="position:absolute;left:1440;top:187;width:9078;height:6594" filled="false" stroked="true" strokeweight=".75pt" strokecolor="#dcddde">
              <v:stroke dashstyle="solid"/>
            </v:rect>
            <v:shape style="position:absolute;left:6592;top:5925;width:917;height:915" type="#_x0000_t202" filled="false" stroked="false">
              <v:textbox inset="0,0,0,0">
                <w:txbxContent>
                  <w:p>
                    <w:pPr>
                      <w:spacing w:line="240" w:lineRule="auto" w:before="0"/>
                      <w:ind w:left="-1" w:right="18" w:firstLine="0"/>
                      <w:jc w:val="center"/>
                      <w:rPr>
                        <w:b/>
                        <w:sz w:val="20"/>
                      </w:rPr>
                    </w:pPr>
                    <w:r>
                      <w:rPr>
                        <w:b/>
                        <w:color w:val="6FAC46"/>
                        <w:sz w:val="20"/>
                      </w:rPr>
                      <w:t>Specific </w:t>
                    </w:r>
                    <w:r>
                      <w:rPr>
                        <w:b/>
                        <w:color w:val="6FAC46"/>
                        <w:spacing w:val="-1"/>
                        <w:sz w:val="20"/>
                      </w:rPr>
                      <w:t>Learning/ </w:t>
                    </w:r>
                    <w:r>
                      <w:rPr>
                        <w:b/>
                        <w:color w:val="6FAC46"/>
                        <w:spacing w:val="-3"/>
                        <w:sz w:val="20"/>
                      </w:rPr>
                      <w:t>ADD</w:t>
                    </w:r>
                  </w:p>
                  <w:p>
                    <w:pPr>
                      <w:spacing w:before="0"/>
                      <w:ind w:left="5" w:right="18" w:firstLine="0"/>
                      <w:jc w:val="center"/>
                      <w:rPr>
                        <w:b/>
                        <w:sz w:val="20"/>
                      </w:rPr>
                    </w:pPr>
                    <w:r>
                      <w:rPr>
                        <w:b/>
                        <w:color w:val="6FAC46"/>
                        <w:sz w:val="20"/>
                      </w:rPr>
                      <w:t>1%</w:t>
                    </w:r>
                  </w:p>
                </w:txbxContent>
              </v:textbox>
              <w10:wrap type="none"/>
            </v:shape>
            <v:shape style="position:absolute;left:7373;top:4965;width:1440;height:684" type="#_x0000_t202" filled="false" stroked="false">
              <v:textbox inset="0,0,0,0">
                <w:txbxContent>
                  <w:p>
                    <w:pPr>
                      <w:spacing w:line="240" w:lineRule="auto" w:before="0"/>
                      <w:ind w:left="-1" w:right="18" w:firstLine="0"/>
                      <w:jc w:val="center"/>
                      <w:rPr>
                        <w:b/>
                        <w:sz w:val="20"/>
                      </w:rPr>
                    </w:pPr>
                    <w:r>
                      <w:rPr>
                        <w:b/>
                        <w:color w:val="4471C4"/>
                        <w:spacing w:val="-1"/>
                        <w:sz w:val="20"/>
                      </w:rPr>
                      <w:t>Developmental </w:t>
                    </w:r>
                    <w:r>
                      <w:rPr>
                        <w:b/>
                        <w:color w:val="4471C4"/>
                        <w:sz w:val="20"/>
                      </w:rPr>
                      <w:t>Delay</w:t>
                    </w:r>
                  </w:p>
                  <w:p>
                    <w:pPr>
                      <w:spacing w:before="0"/>
                      <w:ind w:left="1" w:right="18" w:firstLine="0"/>
                      <w:jc w:val="center"/>
                      <w:rPr>
                        <w:b/>
                        <w:sz w:val="20"/>
                      </w:rPr>
                    </w:pPr>
                    <w:r>
                      <w:rPr>
                        <w:b/>
                        <w:color w:val="4471C4"/>
                        <w:sz w:val="20"/>
                      </w:rPr>
                      <w:t>0%</w:t>
                    </w:r>
                  </w:p>
                </w:txbxContent>
              </v:textbox>
              <w10:wrap type="none"/>
            </v:shape>
            <v:shape style="position:absolute;left:4880;top:5579;width:825;height:454" type="#_x0000_t202" filled="false" stroked="false">
              <v:textbox inset="0,0,0,0">
                <w:txbxContent>
                  <w:p>
                    <w:pPr>
                      <w:spacing w:line="240" w:lineRule="auto" w:before="0"/>
                      <w:ind w:left="203" w:right="-6" w:hanging="204"/>
                      <w:jc w:val="left"/>
                      <w:rPr>
                        <w:b/>
                        <w:sz w:val="20"/>
                      </w:rPr>
                    </w:pPr>
                    <w:r>
                      <w:rPr>
                        <w:b/>
                        <w:color w:val="245E91"/>
                        <w:sz w:val="20"/>
                      </w:rPr>
                      <w:t>Physical 23%</w:t>
                    </w:r>
                  </w:p>
                </w:txbxContent>
              </v:textbox>
              <w10:wrap type="none"/>
            </v:shape>
            <v:shape style="position:absolute;left:7900;top:3345;width:1733;height:1744" type="#_x0000_t202" filled="false" stroked="false">
              <v:textbox inset="0,0,0,0">
                <w:txbxContent>
                  <w:p>
                    <w:pPr>
                      <w:spacing w:line="240" w:lineRule="auto" w:before="0"/>
                      <w:ind w:left="191" w:right="820" w:hanging="192"/>
                      <w:jc w:val="left"/>
                      <w:rPr>
                        <w:b/>
                        <w:sz w:val="20"/>
                      </w:rPr>
                    </w:pPr>
                    <w:r>
                      <w:rPr>
                        <w:b/>
                        <w:color w:val="EC7C30"/>
                        <w:w w:val="95"/>
                        <w:sz w:val="20"/>
                      </w:rPr>
                      <w:t>Autism </w:t>
                    </w:r>
                    <w:r>
                      <w:rPr>
                        <w:b/>
                        <w:color w:val="EC7C30"/>
                        <w:sz w:val="20"/>
                      </w:rPr>
                      <w:t>9%</w:t>
                    </w:r>
                  </w:p>
                  <w:p>
                    <w:pPr>
                      <w:spacing w:before="72"/>
                      <w:ind w:left="624" w:right="726" w:firstLine="0"/>
                      <w:jc w:val="center"/>
                      <w:rPr>
                        <w:b/>
                        <w:sz w:val="20"/>
                      </w:rPr>
                    </w:pPr>
                    <w:r>
                      <w:rPr>
                        <w:b/>
                        <w:color w:val="B1B3B5"/>
                        <w:sz w:val="20"/>
                      </w:rPr>
                      <w:t>ABI</w:t>
                    </w:r>
                    <w:r>
                      <w:rPr>
                        <w:b/>
                        <w:color w:val="B1B3B5"/>
                        <w:w w:val="99"/>
                        <w:sz w:val="20"/>
                      </w:rPr>
                      <w:t> </w:t>
                    </w:r>
                    <w:r>
                      <w:rPr>
                        <w:b/>
                        <w:color w:val="B1B3B5"/>
                        <w:sz w:val="20"/>
                      </w:rPr>
                      <w:t>6%</w:t>
                    </w:r>
                  </w:p>
                  <w:p>
                    <w:pPr>
                      <w:spacing w:before="60"/>
                      <w:ind w:left="672" w:right="22" w:firstLine="0"/>
                      <w:jc w:val="center"/>
                      <w:rPr>
                        <w:b/>
                        <w:sz w:val="20"/>
                      </w:rPr>
                    </w:pPr>
                    <w:r>
                      <w:rPr>
                        <w:b/>
                        <w:color w:val="FFC000"/>
                        <w:sz w:val="20"/>
                      </w:rPr>
                      <w:t>Sensory</w:t>
                    </w:r>
                    <w:r>
                      <w:rPr>
                        <w:b/>
                        <w:color w:val="FFC000"/>
                        <w:spacing w:val="-6"/>
                        <w:sz w:val="20"/>
                      </w:rPr>
                      <w:t> </w:t>
                    </w:r>
                    <w:r>
                      <w:rPr>
                        <w:b/>
                        <w:color w:val="FFC000"/>
                        <w:sz w:val="20"/>
                      </w:rPr>
                      <w:t>or Speech 3%</w:t>
                    </w:r>
                  </w:p>
                </w:txbxContent>
              </v:textbox>
              <w10:wrap type="none"/>
            </v:shape>
            <v:shape style="position:absolute;left:2932;top:3870;width:1227;height:454" type="#_x0000_t202" filled="false" stroked="false">
              <v:textbox inset="0,0,0,0">
                <w:txbxContent>
                  <w:p>
                    <w:pPr>
                      <w:spacing w:line="240" w:lineRule="auto" w:before="0"/>
                      <w:ind w:left="405" w:right="0" w:hanging="406"/>
                      <w:jc w:val="left"/>
                      <w:rPr>
                        <w:b/>
                        <w:sz w:val="20"/>
                      </w:rPr>
                    </w:pPr>
                    <w:r>
                      <w:rPr>
                        <w:b/>
                        <w:color w:val="9E470E"/>
                        <w:w w:val="95"/>
                        <w:sz w:val="20"/>
                      </w:rPr>
                      <w:t>Neurological </w:t>
                    </w:r>
                    <w:r>
                      <w:rPr>
                        <w:b/>
                        <w:color w:val="9E470E"/>
                        <w:sz w:val="20"/>
                      </w:rPr>
                      <w:t>20%</w:t>
                    </w:r>
                  </w:p>
                </w:txbxContent>
              </v:textbox>
              <w10:wrap type="none"/>
            </v:shape>
            <v:shape style="position:absolute;left:7133;top:1800;width:1062;height:454" type="#_x0000_t202" filled="false" stroked="false">
              <v:textbox inset="0,0,0,0">
                <w:txbxContent>
                  <w:p>
                    <w:pPr>
                      <w:spacing w:line="240" w:lineRule="auto" w:before="0"/>
                      <w:ind w:left="321" w:right="0" w:hanging="322"/>
                      <w:jc w:val="left"/>
                      <w:rPr>
                        <w:b/>
                        <w:sz w:val="20"/>
                      </w:rPr>
                    </w:pPr>
                    <w:r>
                      <w:rPr>
                        <w:b/>
                        <w:color w:val="5B9BD4"/>
                        <w:w w:val="95"/>
                        <w:sz w:val="20"/>
                      </w:rPr>
                      <w:t>Intellectual </w:t>
                    </w:r>
                    <w:r>
                      <w:rPr>
                        <w:b/>
                        <w:color w:val="5B9BD4"/>
                        <w:sz w:val="20"/>
                      </w:rPr>
                      <w:t>19%</w:t>
                    </w:r>
                  </w:p>
                </w:txbxContent>
              </v:textbox>
              <w10:wrap type="none"/>
            </v:shape>
            <v:shape style="position:absolute;left:3834;top:1784;width:1079;height:454" type="#_x0000_t202" filled="false" stroked="false">
              <v:textbox inset="0,0,0,0">
                <w:txbxContent>
                  <w:p>
                    <w:pPr>
                      <w:spacing w:line="240" w:lineRule="auto" w:before="0"/>
                      <w:ind w:left="331" w:right="-8" w:hanging="332"/>
                      <w:jc w:val="left"/>
                      <w:rPr>
                        <w:b/>
                        <w:sz w:val="20"/>
                      </w:rPr>
                    </w:pPr>
                    <w:r>
                      <w:rPr>
                        <w:b/>
                        <w:color w:val="7E8082"/>
                        <w:sz w:val="20"/>
                      </w:rPr>
                      <w:t>Psychiatric 19%</w:t>
                    </w:r>
                  </w:p>
                </w:txbxContent>
              </v:textbox>
              <w10:wrap type="none"/>
            </v:shape>
            <v:shape style="position:absolute;left:4196;top:348;width:3584;height:357" type="#_x0000_t202" filled="false" stroked="false">
              <v:textbox inset="0,0,0,0">
                <w:txbxContent>
                  <w:p>
                    <w:pPr>
                      <w:spacing w:line="357" w:lineRule="exact" w:before="0"/>
                      <w:ind w:left="0" w:right="0" w:firstLine="0"/>
                      <w:jc w:val="left"/>
                      <w:rPr>
                        <w:b/>
                        <w:sz w:val="32"/>
                      </w:rPr>
                    </w:pPr>
                    <w:r>
                      <w:rPr>
                        <w:b/>
                        <w:color w:val="77787B"/>
                        <w:sz w:val="32"/>
                      </w:rPr>
                      <w:t>DSC: DISABILITY TYPE</w:t>
                    </w:r>
                  </w:p>
                </w:txbxContent>
              </v:textbox>
              <w10:wrap type="none"/>
            </v:shape>
            <w10:wrap type="topAndBottom"/>
          </v:group>
        </w:pict>
      </w:r>
    </w:p>
    <w:p>
      <w:pPr>
        <w:pStyle w:val="BodyText"/>
        <w:spacing w:before="7"/>
        <w:rPr>
          <w:sz w:val="16"/>
        </w:rPr>
      </w:pPr>
    </w:p>
    <w:tbl>
      <w:tblPr>
        <w:tblW w:w="0" w:type="auto"/>
        <w:jc w:val="left"/>
        <w:tblInd w:w="1332" w:type="dxa"/>
        <w:tblBorders>
          <w:top w:val="single" w:sz="8" w:space="0" w:color="EC7C30"/>
          <w:left w:val="single" w:sz="8" w:space="0" w:color="EC7C30"/>
          <w:bottom w:val="single" w:sz="8" w:space="0" w:color="EC7C30"/>
          <w:right w:val="single" w:sz="8" w:space="0" w:color="EC7C30"/>
          <w:insideH w:val="single" w:sz="8" w:space="0" w:color="EC7C30"/>
          <w:insideV w:val="single" w:sz="8" w:space="0" w:color="EC7C30"/>
        </w:tblBorders>
        <w:tblLayout w:type="fixed"/>
        <w:tblCellMar>
          <w:top w:w="0" w:type="dxa"/>
          <w:left w:w="0" w:type="dxa"/>
          <w:bottom w:w="0" w:type="dxa"/>
          <w:right w:w="0" w:type="dxa"/>
        </w:tblCellMar>
        <w:tblLook w:val="01E0"/>
      </w:tblPr>
      <w:tblGrid>
        <w:gridCol w:w="4260"/>
        <w:gridCol w:w="4623"/>
      </w:tblGrid>
      <w:tr>
        <w:trPr>
          <w:trHeight w:val="436" w:hRule="atLeast"/>
        </w:trPr>
        <w:tc>
          <w:tcPr>
            <w:tcW w:w="4260" w:type="dxa"/>
            <w:tcBorders>
              <w:top w:val="nil"/>
              <w:left w:val="nil"/>
              <w:bottom w:val="nil"/>
              <w:right w:val="nil"/>
            </w:tcBorders>
            <w:shd w:val="clear" w:color="auto" w:fill="EC7C30"/>
          </w:tcPr>
          <w:p>
            <w:pPr>
              <w:pStyle w:val="TableParagraph"/>
              <w:spacing w:before="77"/>
              <w:ind w:left="117"/>
              <w:rPr>
                <w:rFonts w:ascii="Arial"/>
                <w:b/>
                <w:sz w:val="24"/>
              </w:rPr>
            </w:pPr>
            <w:r>
              <w:rPr>
                <w:rFonts w:ascii="Arial"/>
                <w:b/>
                <w:color w:val="FFFFFF"/>
                <w:sz w:val="24"/>
              </w:rPr>
              <w:t>Advocacy issue DSC</w:t>
            </w:r>
          </w:p>
        </w:tc>
        <w:tc>
          <w:tcPr>
            <w:tcW w:w="4623" w:type="dxa"/>
            <w:tcBorders>
              <w:top w:val="nil"/>
              <w:left w:val="nil"/>
              <w:bottom w:val="nil"/>
              <w:right w:val="nil"/>
            </w:tcBorders>
            <w:shd w:val="clear" w:color="auto" w:fill="EC7C30"/>
          </w:tcPr>
          <w:p>
            <w:pPr>
              <w:pStyle w:val="TableParagraph"/>
              <w:spacing w:before="77"/>
              <w:ind w:left="1011"/>
              <w:rPr>
                <w:rFonts w:ascii="Arial"/>
                <w:b/>
                <w:sz w:val="24"/>
              </w:rPr>
            </w:pPr>
            <w:r>
              <w:rPr>
                <w:rFonts w:ascii="Arial"/>
                <w:b/>
                <w:color w:val="FFFFFF"/>
                <w:sz w:val="24"/>
              </w:rPr>
              <w:t>Number</w:t>
            </w:r>
          </w:p>
        </w:tc>
      </w:tr>
      <w:tr>
        <w:trPr>
          <w:trHeight w:val="340" w:hRule="atLeast"/>
        </w:trPr>
        <w:tc>
          <w:tcPr>
            <w:tcW w:w="4260" w:type="dxa"/>
            <w:tcBorders>
              <w:top w:val="nil"/>
              <w:right w:val="nil"/>
            </w:tcBorders>
          </w:tcPr>
          <w:p>
            <w:pPr>
              <w:pStyle w:val="TableParagraph"/>
              <w:spacing w:line="272" w:lineRule="exact"/>
              <w:ind w:left="107"/>
              <w:rPr>
                <w:rFonts w:ascii="Arial"/>
                <w:b/>
                <w:sz w:val="24"/>
              </w:rPr>
            </w:pPr>
            <w:r>
              <w:rPr>
                <w:rFonts w:ascii="Arial"/>
                <w:b/>
                <w:color w:val="231F20"/>
                <w:sz w:val="24"/>
              </w:rPr>
              <w:t>Abuse/Neglect</w:t>
            </w:r>
          </w:p>
        </w:tc>
        <w:tc>
          <w:tcPr>
            <w:tcW w:w="4623" w:type="dxa"/>
            <w:tcBorders>
              <w:top w:val="nil"/>
              <w:left w:val="nil"/>
            </w:tcBorders>
          </w:tcPr>
          <w:p>
            <w:pPr>
              <w:pStyle w:val="TableParagraph"/>
              <w:spacing w:line="272" w:lineRule="exact"/>
              <w:ind w:left="1011"/>
              <w:rPr>
                <w:rFonts w:ascii="Arial"/>
                <w:sz w:val="24"/>
              </w:rPr>
            </w:pPr>
            <w:r>
              <w:rPr>
                <w:rFonts w:ascii="Arial"/>
                <w:color w:val="231F20"/>
                <w:sz w:val="24"/>
              </w:rPr>
              <w:t>5</w:t>
            </w:r>
          </w:p>
        </w:tc>
      </w:tr>
      <w:tr>
        <w:trPr>
          <w:trHeight w:val="340" w:hRule="atLeast"/>
        </w:trPr>
        <w:tc>
          <w:tcPr>
            <w:tcW w:w="4260" w:type="dxa"/>
            <w:tcBorders>
              <w:right w:val="nil"/>
            </w:tcBorders>
          </w:tcPr>
          <w:p>
            <w:pPr>
              <w:pStyle w:val="TableParagraph"/>
              <w:spacing w:line="272" w:lineRule="exact"/>
              <w:ind w:left="107"/>
              <w:rPr>
                <w:rFonts w:ascii="Arial"/>
                <w:b/>
                <w:sz w:val="24"/>
              </w:rPr>
            </w:pPr>
            <w:r>
              <w:rPr>
                <w:rFonts w:ascii="Arial"/>
                <w:b/>
                <w:color w:val="231F20"/>
                <w:sz w:val="24"/>
              </w:rPr>
              <w:t>Accommodation/Housing</w:t>
            </w:r>
          </w:p>
        </w:tc>
        <w:tc>
          <w:tcPr>
            <w:tcW w:w="4623" w:type="dxa"/>
            <w:tcBorders>
              <w:left w:val="nil"/>
            </w:tcBorders>
          </w:tcPr>
          <w:p>
            <w:pPr>
              <w:pStyle w:val="TableParagraph"/>
              <w:spacing w:line="272" w:lineRule="exact"/>
              <w:ind w:left="1011"/>
              <w:rPr>
                <w:rFonts w:ascii="Arial"/>
                <w:sz w:val="24"/>
              </w:rPr>
            </w:pPr>
            <w:r>
              <w:rPr>
                <w:rFonts w:ascii="Arial"/>
                <w:color w:val="231F20"/>
                <w:sz w:val="24"/>
              </w:rPr>
              <w:t>27</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Discrimination/Rights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18</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Education</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11</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Employment</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14</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Equipment/Aids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6</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Finances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13</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Health</w:t>
            </w:r>
          </w:p>
        </w:tc>
        <w:tc>
          <w:tcPr>
            <w:tcW w:w="4623" w:type="dxa"/>
            <w:tcBorders>
              <w:left w:val="nil"/>
            </w:tcBorders>
          </w:tcPr>
          <w:p>
            <w:pPr>
              <w:pStyle w:val="TableParagraph"/>
              <w:spacing w:line="271" w:lineRule="exact"/>
              <w:ind w:left="1011"/>
              <w:rPr>
                <w:rFonts w:ascii="Arial"/>
                <w:sz w:val="24"/>
              </w:rPr>
            </w:pPr>
            <w:r>
              <w:rPr>
                <w:rFonts w:ascii="Arial"/>
                <w:color w:val="231F20"/>
                <w:sz w:val="24"/>
              </w:rPr>
              <w:t>8</w:t>
            </w:r>
          </w:p>
        </w:tc>
      </w:tr>
      <w:tr>
        <w:trPr>
          <w:trHeight w:val="339"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Legal</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12</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Physical Access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5</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Recreation/Social or Family</w:t>
            </w:r>
          </w:p>
        </w:tc>
        <w:tc>
          <w:tcPr>
            <w:tcW w:w="4623" w:type="dxa"/>
            <w:tcBorders>
              <w:left w:val="nil"/>
            </w:tcBorders>
          </w:tcPr>
          <w:p>
            <w:pPr>
              <w:pStyle w:val="TableParagraph"/>
              <w:spacing w:line="271" w:lineRule="exact"/>
              <w:ind w:left="1011"/>
              <w:rPr>
                <w:rFonts w:ascii="Arial"/>
                <w:sz w:val="24"/>
              </w:rPr>
            </w:pPr>
            <w:r>
              <w:rPr>
                <w:rFonts w:ascii="Arial"/>
                <w:color w:val="231F20"/>
                <w:sz w:val="24"/>
              </w:rPr>
              <w:t>8</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Services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56</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Transport</w:t>
            </w:r>
          </w:p>
        </w:tc>
        <w:tc>
          <w:tcPr>
            <w:tcW w:w="4623" w:type="dxa"/>
            <w:tcBorders>
              <w:left w:val="nil"/>
            </w:tcBorders>
          </w:tcPr>
          <w:p>
            <w:pPr>
              <w:pStyle w:val="TableParagraph"/>
              <w:spacing w:line="271" w:lineRule="exact"/>
              <w:ind w:left="1011"/>
              <w:rPr>
                <w:rFonts w:ascii="Arial"/>
                <w:sz w:val="24"/>
              </w:rPr>
            </w:pPr>
            <w:r>
              <w:rPr>
                <w:rFonts w:ascii="Arial"/>
                <w:color w:val="231F20"/>
                <w:sz w:val="24"/>
              </w:rPr>
              <w:t>2</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Vulnerable/Isolated</w:t>
            </w:r>
          </w:p>
        </w:tc>
        <w:tc>
          <w:tcPr>
            <w:tcW w:w="4623" w:type="dxa"/>
            <w:tcBorders>
              <w:left w:val="nil"/>
            </w:tcBorders>
          </w:tcPr>
          <w:p>
            <w:pPr>
              <w:pStyle w:val="TableParagraph"/>
              <w:spacing w:line="271" w:lineRule="exact"/>
              <w:ind w:left="1011"/>
              <w:rPr>
                <w:rFonts w:ascii="Arial"/>
                <w:sz w:val="24"/>
              </w:rPr>
            </w:pPr>
            <w:r>
              <w:rPr>
                <w:rFonts w:ascii="Arial"/>
                <w:color w:val="231F20"/>
                <w:sz w:val="24"/>
              </w:rPr>
              <w:t>4</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NDIS</w:t>
            </w:r>
          </w:p>
        </w:tc>
        <w:tc>
          <w:tcPr>
            <w:tcW w:w="4623" w:type="dxa"/>
            <w:tcBorders>
              <w:left w:val="nil"/>
            </w:tcBorders>
          </w:tcPr>
          <w:p>
            <w:pPr>
              <w:pStyle w:val="TableParagraph"/>
              <w:spacing w:line="271" w:lineRule="exact"/>
              <w:ind w:left="1011"/>
              <w:rPr>
                <w:rFonts w:ascii="Arial"/>
                <w:sz w:val="24"/>
              </w:rPr>
            </w:pPr>
            <w:r>
              <w:rPr>
                <w:rFonts w:ascii="Arial"/>
                <w:color w:val="231F20"/>
                <w:sz w:val="24"/>
              </w:rPr>
              <w:t>4</w:t>
            </w:r>
          </w:p>
        </w:tc>
      </w:tr>
      <w:tr>
        <w:trPr>
          <w:trHeight w:val="339"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My Way</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w:t>
            </w:r>
          </w:p>
        </w:tc>
      </w:tr>
      <w:tr>
        <w:trPr>
          <w:trHeight w:val="339"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Funding</w:t>
            </w:r>
          </w:p>
        </w:tc>
        <w:tc>
          <w:tcPr>
            <w:tcW w:w="4623" w:type="dxa"/>
            <w:tcBorders>
              <w:left w:val="nil"/>
            </w:tcBorders>
          </w:tcPr>
          <w:p>
            <w:pPr>
              <w:pStyle w:val="TableParagraph"/>
              <w:spacing w:line="271" w:lineRule="exact"/>
              <w:ind w:left="1011"/>
              <w:rPr>
                <w:rFonts w:ascii="Arial"/>
                <w:sz w:val="24"/>
              </w:rPr>
            </w:pPr>
            <w:r>
              <w:rPr>
                <w:rFonts w:ascii="Arial"/>
                <w:color w:val="231F20"/>
                <w:sz w:val="24"/>
              </w:rPr>
              <w:t>11</w:t>
            </w:r>
          </w:p>
        </w:tc>
      </w:tr>
      <w:tr>
        <w:trPr>
          <w:trHeight w:val="340" w:hRule="atLeast"/>
        </w:trPr>
        <w:tc>
          <w:tcPr>
            <w:tcW w:w="4260" w:type="dxa"/>
            <w:tcBorders>
              <w:right w:val="nil"/>
            </w:tcBorders>
          </w:tcPr>
          <w:p>
            <w:pPr>
              <w:pStyle w:val="TableParagraph"/>
              <w:spacing w:line="271" w:lineRule="exact"/>
              <w:ind w:left="107"/>
              <w:rPr>
                <w:rFonts w:ascii="Arial"/>
                <w:b/>
                <w:sz w:val="24"/>
              </w:rPr>
            </w:pPr>
            <w:r>
              <w:rPr>
                <w:rFonts w:ascii="Arial"/>
                <w:b/>
                <w:color w:val="231F20"/>
                <w:sz w:val="24"/>
              </w:rPr>
              <w:t>Eligibility</w:t>
            </w:r>
          </w:p>
        </w:tc>
        <w:tc>
          <w:tcPr>
            <w:tcW w:w="4623" w:type="dxa"/>
            <w:tcBorders>
              <w:left w:val="nil"/>
            </w:tcBorders>
          </w:tcPr>
          <w:p>
            <w:pPr>
              <w:pStyle w:val="TableParagraph"/>
              <w:spacing w:line="271" w:lineRule="exact"/>
              <w:ind w:left="1011"/>
              <w:rPr>
                <w:rFonts w:ascii="Arial"/>
                <w:sz w:val="24"/>
              </w:rPr>
            </w:pPr>
            <w:r>
              <w:rPr>
                <w:rFonts w:ascii="Arial"/>
                <w:color w:val="231F20"/>
                <w:sz w:val="24"/>
              </w:rPr>
              <w:t>4</w:t>
            </w:r>
          </w:p>
        </w:tc>
      </w:tr>
    </w:tbl>
    <w:p>
      <w:pPr>
        <w:pStyle w:val="BodyText"/>
        <w:spacing w:before="113"/>
        <w:ind w:left="2186"/>
      </w:pPr>
      <w:r>
        <w:rPr>
          <w:color w:val="44536A"/>
        </w:rPr>
        <w:t>Annual Report 2014 – 2015</w:t>
      </w:r>
    </w:p>
    <w:p>
      <w:pPr>
        <w:pStyle w:val="BodyText"/>
        <w:spacing w:before="26"/>
        <w:ind w:right="1573"/>
        <w:jc w:val="right"/>
      </w:pPr>
      <w:r>
        <w:rPr>
          <w:color w:val="44536A"/>
        </w:rPr>
        <w:t>Page 14</w:t>
      </w:r>
    </w:p>
    <w:p>
      <w:pPr>
        <w:spacing w:after="0"/>
        <w:jc w:val="right"/>
        <w:sectPr>
          <w:headerReference w:type="default" r:id="rId34"/>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rPr>
          <w:sz w:val="20"/>
        </w:rPr>
      </w:pPr>
    </w:p>
    <w:p>
      <w:pPr>
        <w:pStyle w:val="BodyText"/>
        <w:spacing w:before="3"/>
        <w:rPr>
          <w:sz w:val="16"/>
        </w:rPr>
      </w:pPr>
    </w:p>
    <w:tbl>
      <w:tblPr>
        <w:tblW w:w="0" w:type="auto"/>
        <w:jc w:val="left"/>
        <w:tblInd w:w="1692" w:type="dxa"/>
        <w:tblBorders>
          <w:top w:val="single" w:sz="8" w:space="0" w:color="EC7C30"/>
          <w:left w:val="single" w:sz="8" w:space="0" w:color="EC7C30"/>
          <w:bottom w:val="single" w:sz="8" w:space="0" w:color="EC7C30"/>
          <w:right w:val="single" w:sz="8" w:space="0" w:color="EC7C30"/>
          <w:insideH w:val="single" w:sz="8" w:space="0" w:color="EC7C30"/>
          <w:insideV w:val="single" w:sz="8" w:space="0" w:color="EC7C30"/>
        </w:tblBorders>
        <w:tblLayout w:type="fixed"/>
        <w:tblCellMar>
          <w:top w:w="0" w:type="dxa"/>
          <w:left w:w="0" w:type="dxa"/>
          <w:bottom w:w="0" w:type="dxa"/>
          <w:right w:w="0" w:type="dxa"/>
        </w:tblCellMar>
        <w:tblLook w:val="01E0"/>
      </w:tblPr>
      <w:tblGrid>
        <w:gridCol w:w="4277"/>
        <w:gridCol w:w="4606"/>
      </w:tblGrid>
      <w:tr>
        <w:trPr>
          <w:trHeight w:val="340" w:hRule="atLeast"/>
        </w:trPr>
        <w:tc>
          <w:tcPr>
            <w:tcW w:w="4277" w:type="dxa"/>
            <w:tcBorders>
              <w:right w:val="nil"/>
            </w:tcBorders>
          </w:tcPr>
          <w:p>
            <w:pPr>
              <w:pStyle w:val="TableParagraph"/>
              <w:spacing w:line="271" w:lineRule="exact"/>
              <w:ind w:left="107"/>
              <w:rPr>
                <w:rFonts w:ascii="Arial"/>
                <w:b/>
                <w:sz w:val="24"/>
              </w:rPr>
            </w:pPr>
            <w:r>
              <w:rPr>
                <w:rFonts w:ascii="Arial"/>
                <w:b/>
                <w:color w:val="231F20"/>
                <w:sz w:val="24"/>
              </w:rPr>
              <w:t>Independent Living Support</w:t>
            </w:r>
          </w:p>
        </w:tc>
        <w:tc>
          <w:tcPr>
            <w:tcW w:w="4606" w:type="dxa"/>
            <w:tcBorders>
              <w:left w:val="nil"/>
            </w:tcBorders>
          </w:tcPr>
          <w:p>
            <w:pPr>
              <w:pStyle w:val="TableParagraph"/>
              <w:spacing w:line="271" w:lineRule="exact"/>
              <w:ind w:left="994"/>
              <w:rPr>
                <w:rFonts w:ascii="Arial"/>
                <w:sz w:val="24"/>
              </w:rPr>
            </w:pPr>
            <w:r>
              <w:rPr>
                <w:rFonts w:ascii="Arial"/>
                <w:color w:val="231F20"/>
                <w:sz w:val="24"/>
              </w:rPr>
              <w:t>13</w:t>
            </w:r>
          </w:p>
        </w:tc>
      </w:tr>
      <w:tr>
        <w:trPr>
          <w:trHeight w:val="340" w:hRule="atLeast"/>
        </w:trPr>
        <w:tc>
          <w:tcPr>
            <w:tcW w:w="4277" w:type="dxa"/>
            <w:tcBorders>
              <w:right w:val="nil"/>
            </w:tcBorders>
          </w:tcPr>
          <w:p>
            <w:pPr>
              <w:pStyle w:val="TableParagraph"/>
              <w:spacing w:line="272" w:lineRule="exact"/>
              <w:ind w:left="107"/>
              <w:rPr>
                <w:rFonts w:ascii="Arial"/>
                <w:b/>
                <w:sz w:val="24"/>
              </w:rPr>
            </w:pPr>
            <w:r>
              <w:rPr>
                <w:rFonts w:ascii="Arial"/>
                <w:b/>
                <w:color w:val="231F20"/>
                <w:sz w:val="24"/>
              </w:rPr>
              <w:t>Subsidies and entitlements</w:t>
            </w:r>
          </w:p>
        </w:tc>
        <w:tc>
          <w:tcPr>
            <w:tcW w:w="4606" w:type="dxa"/>
            <w:tcBorders>
              <w:left w:val="nil"/>
            </w:tcBorders>
          </w:tcPr>
          <w:p>
            <w:pPr>
              <w:pStyle w:val="TableParagraph"/>
              <w:spacing w:line="272" w:lineRule="exact"/>
              <w:ind w:left="994"/>
              <w:rPr>
                <w:rFonts w:ascii="Arial"/>
                <w:sz w:val="24"/>
              </w:rPr>
            </w:pPr>
            <w:r>
              <w:rPr>
                <w:rFonts w:ascii="Arial"/>
                <w:color w:val="231F20"/>
                <w:sz w:val="24"/>
              </w:rPr>
              <w:t>12</w:t>
            </w:r>
          </w:p>
        </w:tc>
      </w:tr>
      <w:tr>
        <w:trPr>
          <w:trHeight w:val="340" w:hRule="atLeast"/>
        </w:trPr>
        <w:tc>
          <w:tcPr>
            <w:tcW w:w="4277" w:type="dxa"/>
            <w:tcBorders>
              <w:right w:val="nil"/>
            </w:tcBorders>
          </w:tcPr>
          <w:p>
            <w:pPr>
              <w:pStyle w:val="TableParagraph"/>
              <w:spacing w:line="271" w:lineRule="exact"/>
              <w:ind w:left="107"/>
              <w:rPr>
                <w:rFonts w:ascii="Arial"/>
                <w:b/>
                <w:sz w:val="24"/>
              </w:rPr>
            </w:pPr>
            <w:r>
              <w:rPr>
                <w:rFonts w:ascii="Arial"/>
                <w:b/>
                <w:color w:val="231F20"/>
                <w:sz w:val="24"/>
              </w:rPr>
              <w:t>Universal Access</w:t>
            </w:r>
          </w:p>
        </w:tc>
        <w:tc>
          <w:tcPr>
            <w:tcW w:w="4606" w:type="dxa"/>
            <w:tcBorders>
              <w:left w:val="nil"/>
            </w:tcBorders>
          </w:tcPr>
          <w:p>
            <w:pPr>
              <w:pStyle w:val="TableParagraph"/>
              <w:spacing w:line="271" w:lineRule="exact"/>
              <w:ind w:left="994"/>
              <w:rPr>
                <w:rFonts w:ascii="Arial"/>
                <w:sz w:val="24"/>
              </w:rPr>
            </w:pPr>
            <w:r>
              <w:rPr>
                <w:rFonts w:ascii="Arial"/>
                <w:color w:val="231F20"/>
                <w:sz w:val="24"/>
              </w:rPr>
              <w:t>1</w:t>
            </w:r>
          </w:p>
        </w:tc>
      </w:tr>
      <w:tr>
        <w:trPr>
          <w:trHeight w:val="340" w:hRule="atLeast"/>
        </w:trPr>
        <w:tc>
          <w:tcPr>
            <w:tcW w:w="4277" w:type="dxa"/>
            <w:tcBorders>
              <w:right w:val="nil"/>
            </w:tcBorders>
          </w:tcPr>
          <w:p>
            <w:pPr>
              <w:pStyle w:val="TableParagraph"/>
              <w:spacing w:line="271" w:lineRule="exact"/>
              <w:ind w:left="107"/>
              <w:rPr>
                <w:rFonts w:ascii="Arial"/>
                <w:b/>
                <w:sz w:val="24"/>
              </w:rPr>
            </w:pPr>
            <w:r>
              <w:rPr>
                <w:rFonts w:ascii="Arial"/>
                <w:b/>
                <w:color w:val="231F20"/>
                <w:sz w:val="24"/>
              </w:rPr>
              <w:t>Utilities</w:t>
            </w:r>
          </w:p>
        </w:tc>
        <w:tc>
          <w:tcPr>
            <w:tcW w:w="4606" w:type="dxa"/>
            <w:tcBorders>
              <w:left w:val="nil"/>
            </w:tcBorders>
          </w:tcPr>
          <w:p>
            <w:pPr>
              <w:pStyle w:val="TableParagraph"/>
              <w:spacing w:line="271" w:lineRule="exact"/>
              <w:ind w:left="994"/>
              <w:rPr>
                <w:rFonts w:ascii="Arial"/>
                <w:sz w:val="24"/>
              </w:rPr>
            </w:pPr>
            <w:r>
              <w:rPr>
                <w:rFonts w:ascii="Arial"/>
                <w:color w:val="231F20"/>
                <w:sz w:val="24"/>
              </w:rPr>
              <w:t>1</w:t>
            </w:r>
          </w:p>
        </w:tc>
      </w:tr>
    </w:tbl>
    <w:p>
      <w:pPr>
        <w:pStyle w:val="BodyText"/>
        <w:rPr>
          <w:sz w:val="20"/>
        </w:rPr>
      </w:pPr>
    </w:p>
    <w:p>
      <w:pPr>
        <w:pStyle w:val="BodyText"/>
        <w:spacing w:before="5"/>
        <w:rPr>
          <w:sz w:val="20"/>
        </w:rPr>
      </w:pPr>
    </w:p>
    <w:p>
      <w:pPr>
        <w:pStyle w:val="Heading4"/>
        <w:spacing w:before="92"/>
        <w:jc w:val="left"/>
        <w:rPr>
          <w:i/>
        </w:rPr>
      </w:pPr>
      <w:r>
        <w:rPr>
          <w:i/>
          <w:color w:val="231F20"/>
        </w:rPr>
        <w:t>DSC Client Transition Independent Advocate Project</w:t>
      </w:r>
    </w:p>
    <w:p>
      <w:pPr>
        <w:pStyle w:val="BodyText"/>
        <w:spacing w:line="276" w:lineRule="auto" w:before="120"/>
        <w:ind w:left="1800" w:right="1215"/>
        <w:jc w:val="both"/>
      </w:pPr>
      <w:r>
        <w:rPr>
          <w:color w:val="231F20"/>
        </w:rPr>
        <w:t>PWdWA was contracted to ensure that independent advocacy was available to raise concerns about issues that could be affecting residents during the handover period of the transition from DSC accommodation services to alternative service providers. As part of this project, experienced Individual Advocates attended meetings at houses that were commencing the handover to explain their role to staff and residents. PWdWA was available to ensure residents, families and staff had an additional, structured pathway to raise their concerns. Once concerns were raised PWdWA communicated with relevant stakeholders to advocate for a positive outcome for the resident.</w:t>
      </w:r>
    </w:p>
    <w:p>
      <w:pPr>
        <w:pStyle w:val="BodyText"/>
        <w:rPr>
          <w:sz w:val="26"/>
        </w:rPr>
      </w:pPr>
    </w:p>
    <w:p>
      <w:pPr>
        <w:pStyle w:val="BodyText"/>
        <w:rPr>
          <w:sz w:val="26"/>
        </w:rPr>
      </w:pPr>
    </w:p>
    <w:p>
      <w:pPr>
        <w:pStyle w:val="Heading4"/>
        <w:spacing w:before="161"/>
        <w:jc w:val="left"/>
        <w:rPr>
          <w:i/>
        </w:rPr>
      </w:pPr>
      <w:r>
        <w:rPr>
          <w:i/>
          <w:color w:val="231F20"/>
          <w:spacing w:val="2"/>
        </w:rPr>
        <w:t>Individual Advocacy State-Wide </w:t>
      </w:r>
      <w:r>
        <w:rPr>
          <w:i/>
          <w:color w:val="231F20"/>
          <w:spacing w:val="1"/>
        </w:rPr>
        <w:t>funded </w:t>
      </w:r>
      <w:r>
        <w:rPr>
          <w:i/>
          <w:color w:val="231F20"/>
        </w:rPr>
        <w:t>by the</w:t>
      </w:r>
      <w:r>
        <w:rPr>
          <w:i/>
          <w:color w:val="231F20"/>
          <w:spacing w:val="52"/>
        </w:rPr>
        <w:t> </w:t>
      </w:r>
      <w:r>
        <w:rPr>
          <w:i/>
          <w:color w:val="231F20"/>
          <w:spacing w:val="1"/>
        </w:rPr>
        <w:t>DSS</w:t>
      </w:r>
    </w:p>
    <w:p>
      <w:pPr>
        <w:pStyle w:val="BodyText"/>
        <w:spacing w:line="276" w:lineRule="auto" w:before="120"/>
        <w:ind w:left="1800" w:right="1214"/>
        <w:jc w:val="both"/>
      </w:pPr>
      <w:r>
        <w:rPr>
          <w:color w:val="231F20"/>
        </w:rPr>
        <w:t>The Individual Advocacy Team provided advocacy to 123 people with disabilities with DSS funding. The main issues faced by people with disabilities requiring Individual Advocacy were regarding service provision (individuals raising concerns to disability service providers), education (advocacy at schools in regards inclusion and reasonable adjustment) and legal (non-legal advocacy at guardianship and administration hearings). Most of the people accessing this service have an intellectual disability, autism or a Neurological</w:t>
      </w:r>
      <w:r>
        <w:rPr>
          <w:color w:val="231F20"/>
          <w:spacing w:val="-21"/>
        </w:rPr>
        <w:t> </w:t>
      </w:r>
      <w:r>
        <w:rPr>
          <w:color w:val="231F20"/>
        </w:rPr>
        <w:t>disability.</w:t>
      </w:r>
    </w:p>
    <w:p>
      <w:pPr>
        <w:pStyle w:val="BodyText"/>
        <w:spacing w:line="276" w:lineRule="auto" w:before="200"/>
        <w:ind w:left="1800" w:right="1216"/>
        <w:jc w:val="both"/>
      </w:pPr>
      <w:r>
        <w:rPr>
          <w:color w:val="231F20"/>
        </w:rPr>
        <w:t>Examples of our advocacy in practice were PWdWA advocates being alongside individuals at the State Administrative Tribunal to ensure that their voices were heard at hearings for administration and guardianship orders. Also many families of children with disabilities, mainly autism, requested our services at school meetings. As part of this process, Individual Advocates researched relevant policies, provided information and worked with people to prepare for meetings.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before="92"/>
        <w:ind w:left="2546"/>
      </w:pPr>
      <w:r>
        <w:rPr>
          <w:color w:val="44536A"/>
        </w:rPr>
        <w:t>Annual Report 2014 – 2015</w:t>
      </w:r>
    </w:p>
    <w:p>
      <w:pPr>
        <w:pStyle w:val="BodyText"/>
        <w:spacing w:before="27"/>
        <w:ind w:right="1213"/>
        <w:jc w:val="right"/>
      </w:pPr>
      <w:r>
        <w:rPr>
          <w:color w:val="44536A"/>
        </w:rPr>
        <w:t>Page 15</w:t>
      </w:r>
    </w:p>
    <w:p>
      <w:pPr>
        <w:spacing w:after="0"/>
        <w:jc w:val="right"/>
        <w:sectPr>
          <w:headerReference w:type="default" r:id="rId35"/>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rPr>
          <w:sz w:val="20"/>
        </w:rPr>
      </w:pPr>
    </w:p>
    <w:p>
      <w:pPr>
        <w:pStyle w:val="BodyText"/>
        <w:spacing w:before="2"/>
        <w:rPr>
          <w:sz w:val="12"/>
        </w:rPr>
      </w:pPr>
      <w:r>
        <w:rPr/>
        <w:pict>
          <v:group style="position:absolute;margin-left:71.625pt;margin-top:9.008074pt;width:451.95pt;height:289.350pt;mso-position-horizontal-relative:page;mso-position-vertical-relative:paragraph;z-index:2008;mso-wrap-distance-left:0;mso-wrap-distance-right:0" coordorigin="1433,180" coordsize="9039,5787">
            <v:shape style="position:absolute;left:6246;top:1405;width:1653;height:1674" coordorigin="6246,1405" coordsize="1653,1674" path="m6260,1405l6246,1405,6246,3057,7898,3078,7897,3003,7893,2928,7886,2854,7875,2781,7862,2709,7845,2639,7825,2569,7802,2501,7777,2434,7748,2368,7717,2304,7683,2242,7647,2181,7608,2122,7567,2065,7523,2009,7477,1956,7429,1904,7379,1855,7327,1807,7272,1762,7216,1720,7158,1679,7098,1641,7037,1606,6973,1573,6909,1543,6842,1516,6775,1491,6706,1470,6635,1451,6564,1436,6491,1423,6417,1414,6343,1408,6260,1405xe" filled="true" fillcolor="#5088bb" stroked="false">
              <v:path arrowok="t"/>
              <v:fill type="solid"/>
            </v:shape>
            <v:shape style="position:absolute;left:7420;top:1896;width:212;height:58" coordorigin="7421,1896" coordsize="212,58" path="m7421,1896l7543,1954,7632,1954e" filled="false" stroked="true" strokeweight=".72pt" strokecolor="#b2b4b6">
              <v:path arrowok="t"/>
              <v:stroke dashstyle="solid"/>
            </v:shape>
            <v:rect style="position:absolute;left:7728;top:1826;width:101;height:101" filled="true" fillcolor="#5088bb" stroked="false">
              <v:fill type="solid"/>
            </v:rect>
            <v:shape style="position:absolute;left:6253;top:3630;width:1653;height:1648" coordorigin="6253,3630" coordsize="1653,1648" path="m6253,3630l6380,5278,6457,5270,6533,5259,6607,5244,6681,5227,6753,5206,6823,5182,6892,5154,6960,5124,7026,5091,7090,5056,7152,5017,7212,4976,7271,4932,7327,4886,7381,4838,7433,4787,7483,4734,7530,4679,7575,4622,7618,4563,7657,4501,7695,4439,7729,4374,7761,4308,7789,4240,7815,4171,7838,4100,7857,4028,7874,3955,7887,3881,7897,3805,7903,3729,7906,3651,6253,3630xe" filled="true" fillcolor="#d26d2a" stroked="false">
              <v:path arrowok="t"/>
              <v:fill type="solid"/>
            </v:shape>
            <v:shape style="position:absolute;left:5731;top:3760;width:337;height:1652" coordorigin="5731,3761" coordsize="337,1652" path="m5941,3761l5731,5400,5815,5408,5899,5413,5984,5413,6068,5408,5941,3761xe" filled="true" fillcolor="#a2a4a6" stroked="false">
              <v:path arrowok="t"/>
              <v:fill type="solid"/>
            </v:shape>
            <v:shape style="position:absolute;left:5502;top:3754;width:377;height:1639" coordorigin="5502,3754" coordsize="377,1639" path="m5879,3754l5502,5363,5543,5372,5585,5380,5626,5387,5668,5393,5879,3754xe" filled="true" fillcolor="#e1aa00" stroked="false">
              <v:path arrowok="t"/>
              <v:fill type="solid"/>
            </v:shape>
            <v:shape style="position:absolute;left:5389;top:3747;width:459;height:1609" coordorigin="5389,3747" coordsize="459,1609" path="m5848,3747l5389,5335,5471,5356,5848,3747xe" filled="true" fillcolor="#3a63ac" stroked="false">
              <v:path arrowok="t"/>
              <v:fill type="solid"/>
            </v:shape>
            <v:shape style="position:absolute;left:5288;top:3741;width:539;height:1588" coordorigin="5289,3741" coordsize="539,1588" path="m5827,3741l5289,5304,5369,5329,5827,3741xe" filled="true" fillcolor="#61993d" stroked="false">
              <v:path arrowok="t"/>
              <v:fill type="solid"/>
            </v:shape>
            <v:shape style="position:absolute;left:4007;top:3614;width:1630;height:1563" coordorigin="4007,3614" coordsize="1630,1563" path="m5637,3614l4007,3888,4022,3965,4040,4041,4062,4116,4087,4189,4116,4260,4147,4331,4182,4399,4220,4465,4261,4530,4305,4592,4351,4653,4400,4711,4452,4767,4507,4820,4563,4871,4623,4919,4684,4965,4748,5008,4814,5048,4882,5085,4952,5119,5024,5149,5098,5177,5637,3614xe" filled="true" fillcolor="#96b8df" stroked="false">
              <v:path arrowok="t"/>
              <v:fill type="solid"/>
            </v:shape>
            <v:shape style="position:absolute;left:5899;top:5412;width:92;height:200" coordorigin="5899,5412" coordsize="92,200" path="m5899,5412l5902,5612,5990,5612e" filled="false" stroked="true" strokeweight=".72pt" strokecolor="#b2b4b6">
              <v:path arrowok="t"/>
              <v:stroke dashstyle="solid"/>
            </v:shape>
            <v:shape style="position:absolute;left:5431;top:5345;width:1834;height:36" coordorigin="5431,5345" coordsize="1834,36" path="m5431,5345l7174,5381,7265,5381e" filled="false" stroked="true" strokeweight=".72pt" strokecolor="#b2b4b6">
              <v:path arrowok="t"/>
              <v:stroke dashstyle="solid"/>
            </v:shape>
            <v:shape style="position:absolute;left:4384;top:5155;width:944;height:161" coordorigin="4385,5156" coordsize="944,161" path="m5328,5316l4474,5156,4385,5156e" filled="false" stroked="true" strokeweight=".72pt" strokecolor="#b2b4b6">
              <v:path arrowok="t"/>
              <v:stroke dashstyle="solid"/>
            </v:shape>
            <v:shape style="position:absolute;left:3650;top:4013;width:725;height:670" coordorigin="3650,4013" coordsize="725,670" path="m4375,4683l3742,4013,3650,4013e" filled="false" stroked="true" strokeweight=".72pt" strokecolor="#b2b4b6">
              <v:path arrowok="t"/>
              <v:stroke dashstyle="solid"/>
            </v:shape>
            <v:rect style="position:absolute;left:7917;top:4061;width:101;height:101" filled="true" fillcolor="#d26d2a" stroked="false">
              <v:fill type="solid"/>
            </v:rect>
            <v:rect style="position:absolute;left:6079;top:5482;width:101;height:101" filled="true" fillcolor="#a2a4a6" stroked="false">
              <v:fill type="solid"/>
            </v:rect>
            <v:rect style="position:absolute;left:4010;top:5258;width:101;height:101" filled="true" fillcolor="#e1aa00" stroked="false">
              <v:fill type="solid"/>
            </v:rect>
            <v:rect style="position:absolute;left:7356;top:5258;width:101;height:101" filled="true" fillcolor="#3a63ac" stroked="false">
              <v:fill type="solid"/>
            </v:rect>
            <v:shape style="position:absolute;left:3907;top:2027;width:1653;height:1464" coordorigin="3908,2027" coordsize="1653,1464" path="m4414,2027l4359,2083,4308,2140,4259,2199,4213,2261,4170,2324,4130,2389,4094,2455,4060,2524,4030,2593,4003,2664,3979,2735,3959,2808,3942,2882,3928,2957,3918,3032,3911,3108,3908,3184,3908,3260,3912,3337,3919,3414,3930,3491,5560,3218,4414,2027xe" filled="true" fillcolor="#f0a789" stroked="false">
              <v:path arrowok="t"/>
              <v:fill type="solid"/>
            </v:shape>
            <v:shape style="position:absolute;left:4651;top:1312;width:1146;height:1653" coordorigin="4652,1312" coordsize="1146,1653" path="m5798,1312l5718,1314,5638,1320,5560,1329,5482,1343,5404,1360,5328,1380,5253,1404,5180,1432,5108,1463,5037,1498,4968,1536,4901,1577,4835,1621,4772,1669,4711,1720,4652,1774,5798,2964,5798,1312xe" filled="true" fillcolor="#c6c8ca" stroked="false">
              <v:path arrowok="t"/>
              <v:fill type="solid"/>
            </v:shape>
            <v:rect style="position:absolute;left:2419;top:5033;width:101;height:101" filled="true" fillcolor="#61993d" stroked="false">
              <v:fill type="solid"/>
            </v:rect>
            <v:rect style="position:absolute;left:2613;top:3886;width:101;height:101" filled="true" fillcolor="#96b8df" stroked="false">
              <v:fill type="solid"/>
            </v:rect>
            <v:rect style="position:absolute;left:2539;top:2513;width:101;height:101" filled="true" fillcolor="#f0a789" stroked="false">
              <v:fill type="solid"/>
            </v:rect>
            <v:rect style="position:absolute;left:4356;top:982;width:101;height:101" filled="true" fillcolor="#c6c8ca" stroked="false">
              <v:fill type="solid"/>
            </v:rect>
            <v:rect style="position:absolute;left:1440;top:187;width:9024;height:5772" filled="false" stroked="true" strokeweight=".75pt" strokecolor="#dcddde">
              <v:stroke dashstyle="solid"/>
            </v:rect>
            <v:shape style="position:absolute;left:7553;top:5205;width:1441;height:684" type="#_x0000_t202" filled="false" stroked="false">
              <v:textbox inset="0,0,0,0">
                <w:txbxContent>
                  <w:p>
                    <w:pPr>
                      <w:spacing w:line="240" w:lineRule="auto" w:before="0"/>
                      <w:ind w:left="-1" w:right="18" w:firstLine="0"/>
                      <w:jc w:val="center"/>
                      <w:rPr>
                        <w:b/>
                        <w:sz w:val="20"/>
                      </w:rPr>
                    </w:pPr>
                    <w:r>
                      <w:rPr>
                        <w:b/>
                        <w:color w:val="4471C4"/>
                        <w:spacing w:val="-1"/>
                        <w:sz w:val="20"/>
                      </w:rPr>
                      <w:t>Developmental </w:t>
                    </w:r>
                    <w:r>
                      <w:rPr>
                        <w:b/>
                        <w:color w:val="4471C4"/>
                        <w:sz w:val="20"/>
                      </w:rPr>
                      <w:t>Delay</w:t>
                    </w:r>
                  </w:p>
                  <w:p>
                    <w:pPr>
                      <w:spacing w:before="0"/>
                      <w:ind w:left="1" w:right="18" w:firstLine="0"/>
                      <w:jc w:val="center"/>
                      <w:rPr>
                        <w:b/>
                        <w:sz w:val="20"/>
                      </w:rPr>
                    </w:pPr>
                    <w:r>
                      <w:rPr>
                        <w:b/>
                        <w:color w:val="4471C4"/>
                        <w:sz w:val="20"/>
                      </w:rPr>
                      <w:t>1%</w:t>
                    </w:r>
                  </w:p>
                </w:txbxContent>
              </v:textbox>
              <w10:wrap type="none"/>
            </v:shape>
            <v:shape style="position:absolute;left:6281;top:5430;width:357;height:454" type="#_x0000_t202" filled="false" stroked="false">
              <v:textbox inset="0,0,0,0">
                <w:txbxContent>
                  <w:p>
                    <w:pPr>
                      <w:spacing w:line="240" w:lineRule="auto" w:before="0"/>
                      <w:ind w:left="24" w:right="-7" w:hanging="25"/>
                      <w:jc w:val="left"/>
                      <w:rPr>
                        <w:b/>
                        <w:sz w:val="20"/>
                      </w:rPr>
                    </w:pPr>
                    <w:r>
                      <w:rPr>
                        <w:b/>
                        <w:color w:val="B1B3B5"/>
                        <w:sz w:val="20"/>
                      </w:rPr>
                      <w:t>ABI 3%</w:t>
                    </w:r>
                  </w:p>
                </w:txbxContent>
              </v:textbox>
              <w10:wrap type="none"/>
            </v:shape>
            <v:shape style="position:absolute;left:2619;top:4980;width:2985;height:909" type="#_x0000_t202" filled="false" stroked="false">
              <v:textbox inset="0,0,0,0">
                <w:txbxContent>
                  <w:p>
                    <w:pPr>
                      <w:spacing w:line="218" w:lineRule="exact" w:before="0"/>
                      <w:ind w:left="309" w:right="0" w:firstLine="0"/>
                      <w:jc w:val="left"/>
                      <w:rPr>
                        <w:b/>
                        <w:sz w:val="20"/>
                      </w:rPr>
                    </w:pPr>
                    <w:r>
                      <w:rPr>
                        <w:b/>
                        <w:color w:val="6FAC46"/>
                        <w:sz w:val="20"/>
                      </w:rPr>
                      <w:t>Specific</w:t>
                    </w:r>
                  </w:p>
                  <w:p>
                    <w:pPr>
                      <w:tabs>
                        <w:tab w:pos="1586" w:val="left" w:leader="none"/>
                        <w:tab w:pos="1754" w:val="left" w:leader="none"/>
                        <w:tab w:pos="2964" w:val="left" w:leader="none"/>
                      </w:tabs>
                      <w:spacing w:line="230" w:lineRule="auto" w:before="3"/>
                      <w:ind w:left="547" w:right="18" w:hanging="548"/>
                      <w:jc w:val="left"/>
                      <w:rPr>
                        <w:b/>
                        <w:sz w:val="20"/>
                      </w:rPr>
                    </w:pPr>
                    <w:r>
                      <w:rPr>
                        <w:b/>
                        <w:color w:val="6FAC46"/>
                        <w:sz w:val="20"/>
                      </w:rPr>
                      <w:t>Learning/</w:t>
                    </w:r>
                    <w:r>
                      <w:rPr>
                        <w:b/>
                        <w:color w:val="6FAC46"/>
                        <w:spacing w:val="-2"/>
                        <w:sz w:val="20"/>
                      </w:rPr>
                      <w:t> </w:t>
                    </w:r>
                    <w:r>
                      <w:rPr>
                        <w:b/>
                        <w:color w:val="6FAC46"/>
                        <w:spacing w:val="-3"/>
                        <w:sz w:val="20"/>
                      </w:rPr>
                      <w:t>ADD</w:t>
                      <w:tab/>
                    </w:r>
                    <w:r>
                      <w:rPr>
                        <w:b/>
                        <w:color w:val="FFC000"/>
                        <w:position w:val="1"/>
                        <w:sz w:val="20"/>
                      </w:rPr>
                      <w:t>Sensory</w:t>
                    </w:r>
                    <w:r>
                      <w:rPr>
                        <w:b/>
                        <w:color w:val="FFC000"/>
                        <w:spacing w:val="-6"/>
                        <w:position w:val="1"/>
                        <w:sz w:val="20"/>
                      </w:rPr>
                      <w:t> </w:t>
                    </w:r>
                    <w:r>
                      <w:rPr>
                        <w:b/>
                        <w:color w:val="FFC000"/>
                        <w:position w:val="1"/>
                        <w:sz w:val="20"/>
                      </w:rPr>
                      <w:t>or</w:t>
                    </w:r>
                    <w:r>
                      <w:rPr>
                        <w:b/>
                        <w:color w:val="FFC000"/>
                        <w:spacing w:val="-17"/>
                        <w:position w:val="1"/>
                        <w:sz w:val="20"/>
                      </w:rPr>
                      <w:t> </w:t>
                    </w:r>
                    <w:r>
                      <w:rPr>
                        <w:b/>
                        <w:color w:val="FFC000"/>
                        <w:w w:val="99"/>
                        <w:position w:val="1"/>
                        <w:sz w:val="20"/>
                        <w:u w:val="single" w:color="B2B4B6"/>
                      </w:rPr>
                      <w:t> </w:t>
                    </w:r>
                    <w:r>
                      <w:rPr>
                        <w:b/>
                        <w:color w:val="FFC000"/>
                        <w:position w:val="1"/>
                        <w:sz w:val="20"/>
                        <w:u w:val="single" w:color="B2B4B6"/>
                      </w:rPr>
                      <w:tab/>
                    </w:r>
                    <w:r>
                      <w:rPr>
                        <w:b/>
                        <w:color w:val="FFC000"/>
                        <w:position w:val="1"/>
                        <w:sz w:val="20"/>
                      </w:rPr>
                      <w:t> </w:t>
                    </w:r>
                    <w:r>
                      <w:rPr>
                        <w:b/>
                        <w:color w:val="6FAC46"/>
                        <w:sz w:val="20"/>
                      </w:rPr>
                      <w:t>1%</w:t>
                      <w:tab/>
                      <w:tab/>
                    </w:r>
                    <w:r>
                      <w:rPr>
                        <w:b/>
                        <w:color w:val="FFC000"/>
                        <w:position w:val="1"/>
                        <w:sz w:val="20"/>
                      </w:rPr>
                      <w:t>Speech</w:t>
                    </w:r>
                  </w:p>
                  <w:p>
                    <w:pPr>
                      <w:spacing w:line="226" w:lineRule="exact" w:before="0"/>
                      <w:ind w:left="1965" w:right="0" w:firstLine="0"/>
                      <w:jc w:val="left"/>
                      <w:rPr>
                        <w:b/>
                        <w:sz w:val="20"/>
                      </w:rPr>
                    </w:pPr>
                    <w:r>
                      <w:rPr>
                        <w:b/>
                        <w:color w:val="FFC000"/>
                        <w:sz w:val="20"/>
                      </w:rPr>
                      <w:t>2%</w:t>
                    </w:r>
                  </w:p>
                </w:txbxContent>
              </v:textbox>
              <w10:wrap type="none"/>
            </v:shape>
            <v:shape style="position:absolute;left:8117;top:4008;width:690;height:454" type="#_x0000_t202" filled="false" stroked="false">
              <v:textbox inset="0,0,0,0">
                <w:txbxContent>
                  <w:p>
                    <w:pPr>
                      <w:spacing w:line="240" w:lineRule="auto" w:before="0"/>
                      <w:ind w:left="136" w:right="0" w:hanging="137"/>
                      <w:jc w:val="left"/>
                      <w:rPr>
                        <w:b/>
                        <w:sz w:val="20"/>
                      </w:rPr>
                    </w:pPr>
                    <w:r>
                      <w:rPr>
                        <w:b/>
                        <w:color w:val="EC7C30"/>
                        <w:w w:val="95"/>
                        <w:sz w:val="20"/>
                      </w:rPr>
                      <w:t>Autism </w:t>
                    </w:r>
                    <w:r>
                      <w:rPr>
                        <w:b/>
                        <w:color w:val="EC7C30"/>
                        <w:sz w:val="20"/>
                      </w:rPr>
                      <w:t>24%</w:t>
                    </w:r>
                  </w:p>
                </w:txbxContent>
              </v:textbox>
              <w10:wrap type="none"/>
            </v:shape>
            <v:shape style="position:absolute;left:2812;top:3832;width:825;height:454" type="#_x0000_t202" filled="false" stroked="false">
              <v:textbox inset="0,0,0,0">
                <w:txbxContent>
                  <w:p>
                    <w:pPr>
                      <w:spacing w:line="240" w:lineRule="auto" w:before="0"/>
                      <w:ind w:left="203" w:right="-6" w:hanging="204"/>
                      <w:jc w:val="left"/>
                      <w:rPr>
                        <w:b/>
                        <w:sz w:val="20"/>
                      </w:rPr>
                    </w:pPr>
                    <w:r>
                      <w:rPr>
                        <w:b/>
                        <w:color w:val="245E91"/>
                        <w:sz w:val="20"/>
                      </w:rPr>
                      <w:t>Physical 17%</w:t>
                    </w:r>
                  </w:p>
                </w:txbxContent>
              </v:textbox>
              <w10:wrap type="none"/>
            </v:shape>
            <v:shape style="position:absolute;left:2737;top:348;width:6251;height:2565" type="#_x0000_t202" filled="false" stroked="false">
              <v:textbox inset="0,0,0,0">
                <w:txbxContent>
                  <w:p>
                    <w:pPr>
                      <w:spacing w:line="357" w:lineRule="exact" w:before="0"/>
                      <w:ind w:left="477" w:right="0" w:firstLine="0"/>
                      <w:jc w:val="left"/>
                      <w:rPr>
                        <w:b/>
                        <w:sz w:val="32"/>
                      </w:rPr>
                    </w:pPr>
                    <w:r>
                      <w:rPr>
                        <w:b/>
                        <w:color w:val="77787B"/>
                        <w:sz w:val="32"/>
                      </w:rPr>
                      <w:t>DSS STATEWIDE: DISABILITY TYPE</w:t>
                    </w:r>
                  </w:p>
                  <w:p>
                    <w:pPr>
                      <w:spacing w:before="217"/>
                      <w:ind w:left="1821" w:right="3376" w:firstLine="0"/>
                      <w:jc w:val="center"/>
                      <w:rPr>
                        <w:b/>
                        <w:sz w:val="20"/>
                      </w:rPr>
                    </w:pPr>
                    <w:r>
                      <w:rPr>
                        <w:b/>
                        <w:color w:val="7E8082"/>
                        <w:w w:val="95"/>
                        <w:sz w:val="20"/>
                      </w:rPr>
                      <w:t>Psychiatric </w:t>
                    </w:r>
                    <w:r>
                      <w:rPr>
                        <w:b/>
                        <w:color w:val="7E8082"/>
                        <w:sz w:val="20"/>
                      </w:rPr>
                      <w:t>12%</w:t>
                    </w:r>
                  </w:p>
                  <w:p>
                    <w:pPr>
                      <w:spacing w:line="240" w:lineRule="auto" w:before="0"/>
                      <w:rPr>
                        <w:sz w:val="22"/>
                      </w:rPr>
                    </w:pPr>
                  </w:p>
                  <w:p>
                    <w:pPr>
                      <w:spacing w:before="130"/>
                      <w:ind w:left="5511" w:right="0" w:hanging="322"/>
                      <w:jc w:val="left"/>
                      <w:rPr>
                        <w:b/>
                        <w:sz w:val="20"/>
                      </w:rPr>
                    </w:pPr>
                    <w:r>
                      <w:rPr>
                        <w:b/>
                        <w:color w:val="5B9BD4"/>
                        <w:w w:val="95"/>
                        <w:sz w:val="20"/>
                      </w:rPr>
                      <w:t>Intellectual </w:t>
                    </w:r>
                    <w:r>
                      <w:rPr>
                        <w:b/>
                        <w:color w:val="5B9BD4"/>
                        <w:sz w:val="20"/>
                      </w:rPr>
                      <w:t>25%</w:t>
                    </w:r>
                  </w:p>
                  <w:p>
                    <w:pPr>
                      <w:spacing w:line="240" w:lineRule="auto" w:before="8"/>
                      <w:rPr>
                        <w:sz w:val="19"/>
                      </w:rPr>
                    </w:pPr>
                  </w:p>
                  <w:p>
                    <w:pPr>
                      <w:spacing w:before="1"/>
                      <w:ind w:left="405" w:right="4720" w:hanging="406"/>
                      <w:jc w:val="left"/>
                      <w:rPr>
                        <w:b/>
                        <w:sz w:val="20"/>
                      </w:rPr>
                    </w:pPr>
                    <w:r>
                      <w:rPr>
                        <w:b/>
                        <w:color w:val="9E470E"/>
                        <w:w w:val="95"/>
                        <w:sz w:val="20"/>
                      </w:rPr>
                      <w:t>Neurological </w:t>
                    </w:r>
                    <w:r>
                      <w:rPr>
                        <w:b/>
                        <w:color w:val="9E470E"/>
                        <w:sz w:val="20"/>
                      </w:rPr>
                      <w:t>15%</w:t>
                    </w:r>
                  </w:p>
                </w:txbxContent>
              </v:textbox>
              <w10:wrap type="none"/>
            </v:shape>
            <w10:wrap type="topAndBottom"/>
          </v:group>
        </w:pict>
      </w:r>
    </w:p>
    <w:p>
      <w:pPr>
        <w:pStyle w:val="BodyText"/>
        <w:rPr>
          <w:sz w:val="20"/>
        </w:rPr>
      </w:pPr>
    </w:p>
    <w:p>
      <w:pPr>
        <w:pStyle w:val="BodyText"/>
        <w:spacing w:before="4"/>
        <w:rPr>
          <w:sz w:val="23"/>
        </w:rPr>
      </w:pPr>
    </w:p>
    <w:tbl>
      <w:tblPr>
        <w:tblW w:w="0" w:type="auto"/>
        <w:jc w:val="left"/>
        <w:tblInd w:w="1332" w:type="dxa"/>
        <w:tblBorders>
          <w:top w:val="single" w:sz="8" w:space="0" w:color="EC7C30"/>
          <w:left w:val="single" w:sz="8" w:space="0" w:color="EC7C30"/>
          <w:bottom w:val="single" w:sz="8" w:space="0" w:color="EC7C30"/>
          <w:right w:val="single" w:sz="8" w:space="0" w:color="EC7C30"/>
          <w:insideH w:val="single" w:sz="8" w:space="0" w:color="EC7C30"/>
          <w:insideV w:val="single" w:sz="8" w:space="0" w:color="EC7C30"/>
        </w:tblBorders>
        <w:tblLayout w:type="fixed"/>
        <w:tblCellMar>
          <w:top w:w="0" w:type="dxa"/>
          <w:left w:w="0" w:type="dxa"/>
          <w:bottom w:w="0" w:type="dxa"/>
          <w:right w:w="0" w:type="dxa"/>
        </w:tblCellMar>
        <w:tblLook w:val="01E0"/>
      </w:tblPr>
      <w:tblGrid>
        <w:gridCol w:w="4475"/>
        <w:gridCol w:w="4408"/>
      </w:tblGrid>
      <w:tr>
        <w:trPr>
          <w:trHeight w:val="379" w:hRule="atLeast"/>
        </w:trPr>
        <w:tc>
          <w:tcPr>
            <w:tcW w:w="4475" w:type="dxa"/>
            <w:tcBorders>
              <w:top w:val="nil"/>
              <w:left w:val="nil"/>
              <w:bottom w:val="nil"/>
              <w:right w:val="nil"/>
            </w:tcBorders>
            <w:shd w:val="clear" w:color="auto" w:fill="EC7C30"/>
          </w:tcPr>
          <w:p>
            <w:pPr>
              <w:pStyle w:val="TableParagraph"/>
              <w:spacing w:before="15"/>
              <w:ind w:left="117"/>
              <w:rPr>
                <w:rFonts w:ascii="Arial"/>
                <w:b/>
                <w:sz w:val="24"/>
              </w:rPr>
            </w:pPr>
            <w:r>
              <w:rPr>
                <w:rFonts w:ascii="Arial"/>
                <w:b/>
                <w:color w:val="FFFFFF"/>
                <w:sz w:val="24"/>
              </w:rPr>
              <w:t>Advocacy Issue DSS Statewide</w:t>
            </w:r>
          </w:p>
        </w:tc>
        <w:tc>
          <w:tcPr>
            <w:tcW w:w="4408" w:type="dxa"/>
            <w:tcBorders>
              <w:top w:val="nil"/>
              <w:left w:val="nil"/>
              <w:bottom w:val="nil"/>
              <w:right w:val="nil"/>
            </w:tcBorders>
            <w:shd w:val="clear" w:color="auto" w:fill="EC7C30"/>
          </w:tcPr>
          <w:p>
            <w:pPr>
              <w:pStyle w:val="TableParagraph"/>
              <w:spacing w:before="15"/>
              <w:ind w:left="815"/>
              <w:rPr>
                <w:rFonts w:ascii="Arial"/>
                <w:b/>
                <w:sz w:val="24"/>
              </w:rPr>
            </w:pPr>
            <w:r>
              <w:rPr>
                <w:rFonts w:ascii="Arial"/>
                <w:b/>
                <w:color w:val="FFFFFF"/>
                <w:sz w:val="24"/>
              </w:rPr>
              <w:t>Number</w:t>
            </w:r>
          </w:p>
        </w:tc>
      </w:tr>
      <w:tr>
        <w:trPr>
          <w:trHeight w:val="340" w:hRule="atLeast"/>
        </w:trPr>
        <w:tc>
          <w:tcPr>
            <w:tcW w:w="4475" w:type="dxa"/>
            <w:tcBorders>
              <w:top w:val="nil"/>
              <w:right w:val="nil"/>
            </w:tcBorders>
          </w:tcPr>
          <w:p>
            <w:pPr>
              <w:pStyle w:val="TableParagraph"/>
              <w:spacing w:line="272" w:lineRule="exact"/>
              <w:ind w:left="107"/>
              <w:rPr>
                <w:rFonts w:ascii="Arial"/>
                <w:b/>
                <w:sz w:val="24"/>
              </w:rPr>
            </w:pPr>
            <w:r>
              <w:rPr>
                <w:rFonts w:ascii="Arial"/>
                <w:b/>
                <w:color w:val="231F20"/>
                <w:sz w:val="24"/>
              </w:rPr>
              <w:t>Abuse/Neglect</w:t>
            </w:r>
          </w:p>
        </w:tc>
        <w:tc>
          <w:tcPr>
            <w:tcW w:w="4408" w:type="dxa"/>
            <w:tcBorders>
              <w:top w:val="nil"/>
              <w:left w:val="nil"/>
            </w:tcBorders>
          </w:tcPr>
          <w:p>
            <w:pPr>
              <w:pStyle w:val="TableParagraph"/>
              <w:spacing w:line="272" w:lineRule="exact"/>
              <w:ind w:left="815"/>
              <w:rPr>
                <w:rFonts w:ascii="Arial"/>
                <w:sz w:val="24"/>
              </w:rPr>
            </w:pPr>
            <w:r>
              <w:rPr>
                <w:rFonts w:ascii="Arial"/>
                <w:color w:val="231F20"/>
                <w:sz w:val="24"/>
              </w:rPr>
              <w:t>3</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Accommodation/Housing</w:t>
            </w:r>
          </w:p>
        </w:tc>
        <w:tc>
          <w:tcPr>
            <w:tcW w:w="4408" w:type="dxa"/>
            <w:tcBorders>
              <w:left w:val="nil"/>
            </w:tcBorders>
          </w:tcPr>
          <w:p>
            <w:pPr>
              <w:pStyle w:val="TableParagraph"/>
              <w:spacing w:line="271" w:lineRule="exact"/>
              <w:ind w:left="815"/>
              <w:rPr>
                <w:rFonts w:ascii="Arial"/>
                <w:sz w:val="24"/>
              </w:rPr>
            </w:pPr>
            <w:r>
              <w:rPr>
                <w:rFonts w:ascii="Arial"/>
                <w:color w:val="231F20"/>
                <w:sz w:val="24"/>
              </w:rPr>
              <w:t>15</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Discrimination/Rights</w:t>
            </w:r>
          </w:p>
        </w:tc>
        <w:tc>
          <w:tcPr>
            <w:tcW w:w="4408" w:type="dxa"/>
            <w:tcBorders>
              <w:left w:val="nil"/>
            </w:tcBorders>
          </w:tcPr>
          <w:p>
            <w:pPr>
              <w:pStyle w:val="TableParagraph"/>
              <w:spacing w:line="271" w:lineRule="exact"/>
              <w:ind w:left="815"/>
              <w:rPr>
                <w:rFonts w:ascii="Arial"/>
                <w:sz w:val="24"/>
              </w:rPr>
            </w:pPr>
            <w:r>
              <w:rPr>
                <w:rFonts w:ascii="Arial"/>
                <w:color w:val="231F20"/>
                <w:sz w:val="24"/>
              </w:rPr>
              <w:t>6</w:t>
            </w:r>
          </w:p>
        </w:tc>
      </w:tr>
      <w:tr>
        <w:trPr>
          <w:trHeight w:val="340" w:hRule="atLeast"/>
        </w:trPr>
        <w:tc>
          <w:tcPr>
            <w:tcW w:w="4475" w:type="dxa"/>
            <w:tcBorders>
              <w:right w:val="nil"/>
            </w:tcBorders>
          </w:tcPr>
          <w:p>
            <w:pPr>
              <w:pStyle w:val="TableParagraph"/>
              <w:spacing w:line="272" w:lineRule="exact"/>
              <w:ind w:left="107"/>
              <w:rPr>
                <w:rFonts w:ascii="Arial"/>
                <w:b/>
                <w:sz w:val="24"/>
              </w:rPr>
            </w:pPr>
            <w:r>
              <w:rPr>
                <w:rFonts w:ascii="Arial"/>
                <w:b/>
                <w:color w:val="231F20"/>
                <w:sz w:val="24"/>
              </w:rPr>
              <w:t>Education</w:t>
            </w:r>
          </w:p>
        </w:tc>
        <w:tc>
          <w:tcPr>
            <w:tcW w:w="4408" w:type="dxa"/>
            <w:tcBorders>
              <w:left w:val="nil"/>
            </w:tcBorders>
          </w:tcPr>
          <w:p>
            <w:pPr>
              <w:pStyle w:val="TableParagraph"/>
              <w:spacing w:line="272" w:lineRule="exact"/>
              <w:ind w:left="815"/>
              <w:rPr>
                <w:rFonts w:ascii="Arial"/>
                <w:sz w:val="24"/>
              </w:rPr>
            </w:pPr>
            <w:r>
              <w:rPr>
                <w:rFonts w:ascii="Arial"/>
                <w:color w:val="231F20"/>
                <w:sz w:val="24"/>
              </w:rPr>
              <w:t>17</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Employment</w:t>
            </w:r>
          </w:p>
        </w:tc>
        <w:tc>
          <w:tcPr>
            <w:tcW w:w="4408" w:type="dxa"/>
            <w:tcBorders>
              <w:left w:val="nil"/>
            </w:tcBorders>
          </w:tcPr>
          <w:p>
            <w:pPr>
              <w:pStyle w:val="TableParagraph"/>
              <w:spacing w:line="271" w:lineRule="exact"/>
              <w:ind w:left="815"/>
              <w:rPr>
                <w:rFonts w:ascii="Arial"/>
                <w:sz w:val="24"/>
              </w:rPr>
            </w:pPr>
            <w:r>
              <w:rPr>
                <w:rFonts w:ascii="Arial"/>
                <w:color w:val="231F20"/>
                <w:sz w:val="24"/>
              </w:rPr>
              <w:t>12</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Finances</w:t>
            </w:r>
          </w:p>
        </w:tc>
        <w:tc>
          <w:tcPr>
            <w:tcW w:w="4408" w:type="dxa"/>
            <w:tcBorders>
              <w:left w:val="nil"/>
            </w:tcBorders>
          </w:tcPr>
          <w:p>
            <w:pPr>
              <w:pStyle w:val="TableParagraph"/>
              <w:spacing w:line="271" w:lineRule="exact"/>
              <w:ind w:left="815"/>
              <w:rPr>
                <w:rFonts w:ascii="Arial"/>
                <w:sz w:val="24"/>
              </w:rPr>
            </w:pPr>
            <w:r>
              <w:rPr>
                <w:rFonts w:ascii="Arial"/>
                <w:color w:val="231F20"/>
                <w:sz w:val="24"/>
              </w:rPr>
              <w:t>5</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Health</w:t>
            </w:r>
          </w:p>
        </w:tc>
        <w:tc>
          <w:tcPr>
            <w:tcW w:w="4408" w:type="dxa"/>
            <w:tcBorders>
              <w:left w:val="nil"/>
            </w:tcBorders>
          </w:tcPr>
          <w:p>
            <w:pPr>
              <w:pStyle w:val="TableParagraph"/>
              <w:spacing w:line="271" w:lineRule="exact"/>
              <w:ind w:left="815"/>
              <w:rPr>
                <w:rFonts w:ascii="Arial"/>
                <w:sz w:val="24"/>
              </w:rPr>
            </w:pPr>
            <w:r>
              <w:rPr>
                <w:rFonts w:ascii="Arial"/>
                <w:color w:val="231F20"/>
                <w:sz w:val="24"/>
              </w:rPr>
              <w:t>8</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Legal</w:t>
            </w:r>
          </w:p>
        </w:tc>
        <w:tc>
          <w:tcPr>
            <w:tcW w:w="4408" w:type="dxa"/>
            <w:tcBorders>
              <w:left w:val="nil"/>
            </w:tcBorders>
          </w:tcPr>
          <w:p>
            <w:pPr>
              <w:pStyle w:val="TableParagraph"/>
              <w:spacing w:line="271" w:lineRule="exact"/>
              <w:ind w:left="815"/>
              <w:rPr>
                <w:rFonts w:ascii="Arial"/>
                <w:sz w:val="24"/>
              </w:rPr>
            </w:pPr>
            <w:r>
              <w:rPr>
                <w:rFonts w:ascii="Arial"/>
                <w:color w:val="231F20"/>
                <w:sz w:val="24"/>
              </w:rPr>
              <w:t>16</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Recreation/Social or Family</w:t>
            </w:r>
          </w:p>
        </w:tc>
        <w:tc>
          <w:tcPr>
            <w:tcW w:w="4408" w:type="dxa"/>
            <w:tcBorders>
              <w:left w:val="nil"/>
            </w:tcBorders>
          </w:tcPr>
          <w:p>
            <w:pPr>
              <w:pStyle w:val="TableParagraph"/>
              <w:spacing w:line="271" w:lineRule="exact"/>
              <w:ind w:left="815"/>
              <w:rPr>
                <w:rFonts w:ascii="Arial"/>
                <w:sz w:val="24"/>
              </w:rPr>
            </w:pPr>
            <w:r>
              <w:rPr>
                <w:rFonts w:ascii="Arial"/>
                <w:color w:val="231F20"/>
                <w:sz w:val="24"/>
              </w:rPr>
              <w:t>1</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Services</w:t>
            </w:r>
          </w:p>
        </w:tc>
        <w:tc>
          <w:tcPr>
            <w:tcW w:w="4408" w:type="dxa"/>
            <w:tcBorders>
              <w:left w:val="nil"/>
            </w:tcBorders>
          </w:tcPr>
          <w:p>
            <w:pPr>
              <w:pStyle w:val="TableParagraph"/>
              <w:spacing w:line="271" w:lineRule="exact"/>
              <w:ind w:left="815"/>
              <w:rPr>
                <w:rFonts w:ascii="Arial"/>
                <w:sz w:val="24"/>
              </w:rPr>
            </w:pPr>
            <w:r>
              <w:rPr>
                <w:rFonts w:ascii="Arial"/>
                <w:color w:val="231F20"/>
                <w:sz w:val="24"/>
              </w:rPr>
              <w:t>34</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Transport</w:t>
            </w:r>
          </w:p>
        </w:tc>
        <w:tc>
          <w:tcPr>
            <w:tcW w:w="4408" w:type="dxa"/>
            <w:tcBorders>
              <w:left w:val="nil"/>
            </w:tcBorders>
          </w:tcPr>
          <w:p>
            <w:pPr>
              <w:pStyle w:val="TableParagraph"/>
              <w:spacing w:line="271" w:lineRule="exact"/>
              <w:ind w:left="815"/>
              <w:rPr>
                <w:rFonts w:ascii="Arial"/>
                <w:sz w:val="24"/>
              </w:rPr>
            </w:pPr>
            <w:r>
              <w:rPr>
                <w:rFonts w:ascii="Arial"/>
                <w:color w:val="231F20"/>
                <w:sz w:val="24"/>
              </w:rPr>
              <w:t>3</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Vulnerable/Isolated</w:t>
            </w:r>
          </w:p>
        </w:tc>
        <w:tc>
          <w:tcPr>
            <w:tcW w:w="4408" w:type="dxa"/>
            <w:tcBorders>
              <w:left w:val="nil"/>
            </w:tcBorders>
          </w:tcPr>
          <w:p>
            <w:pPr>
              <w:pStyle w:val="TableParagraph"/>
              <w:spacing w:line="271" w:lineRule="exact"/>
              <w:ind w:left="815"/>
              <w:rPr>
                <w:rFonts w:ascii="Arial"/>
                <w:sz w:val="24"/>
              </w:rPr>
            </w:pPr>
            <w:r>
              <w:rPr>
                <w:rFonts w:ascii="Arial"/>
                <w:color w:val="231F20"/>
                <w:sz w:val="24"/>
              </w:rPr>
              <w:t>2</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NDIS</w:t>
            </w:r>
          </w:p>
        </w:tc>
        <w:tc>
          <w:tcPr>
            <w:tcW w:w="4408" w:type="dxa"/>
            <w:tcBorders>
              <w:left w:val="nil"/>
            </w:tcBorders>
          </w:tcPr>
          <w:p>
            <w:pPr>
              <w:pStyle w:val="TableParagraph"/>
              <w:spacing w:line="271" w:lineRule="exact"/>
              <w:ind w:left="815"/>
              <w:rPr>
                <w:rFonts w:ascii="Arial"/>
                <w:sz w:val="24"/>
              </w:rPr>
            </w:pPr>
            <w:r>
              <w:rPr>
                <w:rFonts w:ascii="Arial"/>
                <w:color w:val="231F20"/>
                <w:sz w:val="24"/>
              </w:rPr>
              <w:t>3</w:t>
            </w:r>
          </w:p>
        </w:tc>
      </w:tr>
      <w:tr>
        <w:trPr>
          <w:trHeight w:val="340" w:hRule="atLeast"/>
        </w:trPr>
        <w:tc>
          <w:tcPr>
            <w:tcW w:w="4475" w:type="dxa"/>
            <w:tcBorders>
              <w:right w:val="nil"/>
            </w:tcBorders>
          </w:tcPr>
          <w:p>
            <w:pPr>
              <w:pStyle w:val="TableParagraph"/>
              <w:spacing w:line="272" w:lineRule="exact"/>
              <w:ind w:left="107"/>
              <w:rPr>
                <w:rFonts w:ascii="Arial"/>
                <w:b/>
                <w:sz w:val="24"/>
              </w:rPr>
            </w:pPr>
            <w:r>
              <w:rPr>
                <w:rFonts w:ascii="Arial"/>
                <w:b/>
                <w:color w:val="231F20"/>
                <w:sz w:val="24"/>
              </w:rPr>
              <w:t>My Way</w:t>
            </w:r>
          </w:p>
        </w:tc>
        <w:tc>
          <w:tcPr>
            <w:tcW w:w="4408" w:type="dxa"/>
            <w:tcBorders>
              <w:left w:val="nil"/>
            </w:tcBorders>
          </w:tcPr>
          <w:p>
            <w:pPr>
              <w:pStyle w:val="TableParagraph"/>
              <w:spacing w:line="272" w:lineRule="exact"/>
              <w:ind w:left="815"/>
              <w:rPr>
                <w:rFonts w:ascii="Arial"/>
                <w:sz w:val="24"/>
              </w:rPr>
            </w:pPr>
            <w:r>
              <w:rPr>
                <w:rFonts w:ascii="Arial"/>
                <w:color w:val="231F20"/>
                <w:sz w:val="24"/>
              </w:rPr>
              <w:t>2</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Funding</w:t>
            </w:r>
          </w:p>
        </w:tc>
        <w:tc>
          <w:tcPr>
            <w:tcW w:w="4408" w:type="dxa"/>
            <w:tcBorders>
              <w:left w:val="nil"/>
            </w:tcBorders>
          </w:tcPr>
          <w:p>
            <w:pPr>
              <w:pStyle w:val="TableParagraph"/>
              <w:spacing w:line="271" w:lineRule="exact"/>
              <w:ind w:left="815"/>
              <w:rPr>
                <w:rFonts w:ascii="Arial"/>
                <w:sz w:val="24"/>
              </w:rPr>
            </w:pPr>
            <w:r>
              <w:rPr>
                <w:rFonts w:ascii="Arial"/>
                <w:color w:val="231F20"/>
                <w:sz w:val="24"/>
              </w:rPr>
              <w:t>8</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Independent Living Support</w:t>
            </w:r>
          </w:p>
        </w:tc>
        <w:tc>
          <w:tcPr>
            <w:tcW w:w="4408" w:type="dxa"/>
            <w:tcBorders>
              <w:left w:val="nil"/>
            </w:tcBorders>
          </w:tcPr>
          <w:p>
            <w:pPr>
              <w:pStyle w:val="TableParagraph"/>
              <w:spacing w:line="271" w:lineRule="exact"/>
              <w:ind w:left="815"/>
              <w:rPr>
                <w:rFonts w:ascii="Arial"/>
                <w:sz w:val="24"/>
              </w:rPr>
            </w:pPr>
            <w:r>
              <w:rPr>
                <w:rFonts w:ascii="Arial"/>
                <w:color w:val="231F20"/>
                <w:sz w:val="24"/>
              </w:rPr>
              <w:t>4</w:t>
            </w:r>
          </w:p>
        </w:tc>
      </w:tr>
      <w:tr>
        <w:trPr>
          <w:trHeight w:val="340" w:hRule="atLeast"/>
        </w:trPr>
        <w:tc>
          <w:tcPr>
            <w:tcW w:w="4475" w:type="dxa"/>
            <w:tcBorders>
              <w:right w:val="nil"/>
            </w:tcBorders>
          </w:tcPr>
          <w:p>
            <w:pPr>
              <w:pStyle w:val="TableParagraph"/>
              <w:spacing w:line="271" w:lineRule="exact"/>
              <w:ind w:left="107"/>
              <w:rPr>
                <w:rFonts w:ascii="Arial"/>
                <w:b/>
                <w:sz w:val="24"/>
              </w:rPr>
            </w:pPr>
            <w:r>
              <w:rPr>
                <w:rFonts w:ascii="Arial"/>
                <w:b/>
                <w:color w:val="231F20"/>
                <w:sz w:val="24"/>
              </w:rPr>
              <w:t>Subsidies and entitlements</w:t>
            </w:r>
          </w:p>
        </w:tc>
        <w:tc>
          <w:tcPr>
            <w:tcW w:w="4408" w:type="dxa"/>
            <w:tcBorders>
              <w:left w:val="nil"/>
            </w:tcBorders>
          </w:tcPr>
          <w:p>
            <w:pPr>
              <w:pStyle w:val="TableParagraph"/>
              <w:spacing w:line="271" w:lineRule="exact"/>
              <w:ind w:left="815"/>
              <w:rPr>
                <w:rFonts w:ascii="Arial"/>
                <w:sz w:val="24"/>
              </w:rPr>
            </w:pPr>
            <w:r>
              <w:rPr>
                <w:rFonts w:ascii="Arial"/>
                <w:color w:val="231F20"/>
                <w:sz w:val="24"/>
              </w:rPr>
              <w:t>1</w:t>
            </w:r>
          </w:p>
        </w:tc>
      </w:tr>
    </w:tbl>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before="92"/>
        <w:ind w:left="2186"/>
      </w:pPr>
      <w:r>
        <w:rPr>
          <w:color w:val="44536A"/>
        </w:rPr>
        <w:t>Annual Report 2014 – 2015</w:t>
      </w:r>
    </w:p>
    <w:p>
      <w:pPr>
        <w:pStyle w:val="BodyText"/>
        <w:spacing w:before="27"/>
        <w:ind w:right="1573"/>
        <w:jc w:val="right"/>
      </w:pPr>
      <w:r>
        <w:rPr>
          <w:color w:val="44536A"/>
        </w:rPr>
        <w:t>Page 16</w:t>
      </w:r>
    </w:p>
    <w:p>
      <w:pPr>
        <w:spacing w:after="0"/>
        <w:jc w:val="right"/>
        <w:sectPr>
          <w:headerReference w:type="default" r:id="rId36"/>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Heading4"/>
        <w:spacing w:before="92"/>
        <w:rPr>
          <w:i/>
        </w:rPr>
      </w:pPr>
      <w:r>
        <w:rPr>
          <w:i/>
          <w:color w:val="231F20"/>
        </w:rPr>
        <w:t>Individual Advocacy Peel funded by the DSS</w:t>
      </w:r>
    </w:p>
    <w:p>
      <w:pPr>
        <w:pStyle w:val="BodyText"/>
        <w:spacing w:line="276" w:lineRule="auto" w:before="123"/>
        <w:ind w:left="1800" w:right="1215" w:hanging="1"/>
        <w:jc w:val="both"/>
      </w:pPr>
      <w:r>
        <w:rPr>
          <w:color w:val="231F20"/>
        </w:rPr>
        <w:t>In 2014-2015 PWdWA Individual Advocate in Peel provided advocacy to 48 individuals. Service provision and education still continues to be a priority in the Peel region followed by housing and accommodation issues.</w:t>
      </w:r>
    </w:p>
    <w:p>
      <w:pPr>
        <w:pStyle w:val="BodyText"/>
        <w:spacing w:line="276" w:lineRule="auto" w:before="200"/>
        <w:ind w:left="1801" w:right="1211"/>
        <w:jc w:val="both"/>
      </w:pPr>
      <w:r>
        <w:rPr>
          <w:color w:val="231F20"/>
        </w:rPr>
        <w:t>To ensure that people with disabilities and their families are aware of our service PWdWA visited and provided pamphlets and contact details to community centres in the Peel region. </w:t>
      </w:r>
      <w:r>
        <w:rPr>
          <w:color w:val="231F20"/>
          <w:spacing w:val="1"/>
        </w:rPr>
        <w:t>We </w:t>
      </w:r>
      <w:r>
        <w:rPr>
          <w:color w:val="231F20"/>
        </w:rPr>
        <w:t>also attended the event Fun on the Foreshore and the parents’ drop-in morning at the Parents Place to talk with members of the public about our advocacy services.</w:t>
      </w:r>
    </w:p>
    <w:p>
      <w:pPr>
        <w:pStyle w:val="BodyText"/>
        <w:spacing w:line="276" w:lineRule="auto" w:before="199"/>
        <w:ind w:left="1801" w:right="1216"/>
        <w:jc w:val="both"/>
      </w:pPr>
      <w:r>
        <w:rPr>
          <w:color w:val="231F20"/>
        </w:rPr>
        <w:t>Individual Advocacy Peel has received a large portion of their referrals from other tenants from The Parents Place asking for advocacy and information for their  own clients. </w:t>
      </w:r>
      <w:r>
        <w:rPr>
          <w:color w:val="231F20"/>
          <w:spacing w:val="2"/>
        </w:rPr>
        <w:t>We </w:t>
      </w:r>
      <w:r>
        <w:rPr>
          <w:color w:val="231F20"/>
        </w:rPr>
        <w:t>are also receiving referrals through information given to members of the local</w:t>
      </w:r>
      <w:r>
        <w:rPr>
          <w:color w:val="231F20"/>
          <w:spacing w:val="0"/>
        </w:rPr>
        <w:t> </w:t>
      </w:r>
      <w:r>
        <w:rPr>
          <w:color w:val="231F20"/>
        </w:rPr>
        <w:t>community.</w:t>
      </w:r>
    </w:p>
    <w:p>
      <w:pPr>
        <w:pStyle w:val="BodyText"/>
        <w:spacing w:line="276" w:lineRule="auto" w:before="200"/>
        <w:ind w:left="1801" w:right="1216"/>
        <w:jc w:val="both"/>
      </w:pPr>
      <w:r>
        <w:rPr>
          <w:color w:val="231F20"/>
        </w:rPr>
        <w:t>An example of PWdWA Individual Advocate from Peel in practice was when she attended an education disciplinary advisory panel to expel a student with disability from a public school. As a result of the collaborative work between the family and our Peel Advocate the student was not</w:t>
      </w:r>
      <w:r>
        <w:rPr>
          <w:color w:val="231F20"/>
          <w:spacing w:val="-10"/>
        </w:rPr>
        <w:t> </w:t>
      </w:r>
      <w:r>
        <w:rPr>
          <w:color w:val="231F20"/>
        </w:rPr>
        <w:t>expelled.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r>
        <w:rPr/>
        <w:pict>
          <v:group style="position:absolute;margin-left:89.625pt;margin-top:15.465105pt;width:452.25pt;height:287.25pt;mso-position-horizontal-relative:page;mso-position-vertical-relative:paragraph;z-index:2224;mso-wrap-distance-left:0;mso-wrap-distance-right:0" coordorigin="1793,309" coordsize="9045,5745">
            <v:shape style="position:absolute;left:6604;top:1529;width:1638;height:1638" coordorigin="6605,1529" coordsize="1638,1638" path="m6605,1529l6605,3167,8242,3167,8241,3092,8236,3018,8227,2944,8216,2872,8201,2801,8184,2731,8163,2663,8140,2595,8114,2529,8085,2465,8053,2402,8019,2340,7982,2280,7943,2222,7901,2166,7857,2112,7811,2059,7763,2009,7712,1960,7660,1914,7605,1870,7549,1829,7491,1789,7431,1753,7370,1718,7307,1687,7242,1658,7176,1631,7109,1608,7040,1588,6970,1570,6899,1555,6827,1544,6754,1536,6680,1531,6605,1529xe" filled="true" fillcolor="#5088bb" stroked="false">
              <v:path arrowok="t"/>
              <v:fill type="solid"/>
            </v:shape>
            <v:shape style="position:absolute;left:5915;top:3796;width:2265;height:1639" coordorigin="5916,3797" coordsize="2265,1639" path="m8180,3797l6542,3797,5916,5310,5986,5337,6056,5360,6127,5381,6198,5398,6269,5412,6340,5422,6412,5430,6483,5434,6554,5435,6625,5433,6695,5428,6765,5419,6834,5408,6903,5394,6971,5377,7038,5358,7104,5335,7169,5310,7233,5282,7296,5251,7357,5217,7417,5181,7476,5143,7533,5101,7588,5058,7641,5012,7693,4963,7742,4912,7790,4859,7835,4803,7878,4745,7918,4685,7957,4623,7992,4559,8025,4492,8055,4423,8084,4348,8110,4272,8131,4194,8149,4116,8162,4037,8172,3957,8178,3877,8180,3797xe" filled="true" fillcolor="#d26d2a" stroked="false">
              <v:path arrowok="t"/>
              <v:fill type="solid"/>
            </v:shape>
            <v:shape style="position:absolute;left:5113;top:3810;width:997;height:1513" coordorigin="5113,3811" coordsize="997,1513" path="m6110,3811l5113,5110,5183,5160,5255,5207,5329,5250,5405,5289,5484,5324,6110,3811xe" filled="true" fillcolor="#a2a4a6" stroked="false">
              <v:path arrowok="t"/>
              <v:fill type="solid"/>
            </v:shape>
            <v:shape style="position:absolute;left:4588;top:3726;width:1419;height:1300" coordorigin="4589,3726" coordsize="1419,1300" path="m6007,3726l4589,4545,4631,4614,4676,4680,4724,4744,4776,4806,4830,4865,4888,4921,4948,4975,5010,5025,6007,3726xe" filled="true" fillcolor="#e1aa00" stroked="false">
              <v:path arrowok="t"/>
              <v:fill type="solid"/>
            </v:shape>
            <v:shape style="position:absolute;left:4354;top:3612;width:1582;height:819" coordorigin="4355,3613" coordsize="1582,819" path="m5937,3613l4355,4037,4379,4119,4408,4200,4441,4279,4477,4356,4518,4432,5937,3613xe" filled="true" fillcolor="#3a63ac" stroked="false">
              <v:path arrowok="t"/>
              <v:fill type="solid"/>
            </v:shape>
            <v:shape style="position:absolute;left:4271;top:2584;width:1638;height:1243" coordorigin="4272,2584" coordsize="1638,1243" path="m4491,2584l4452,2655,4417,2728,4385,2802,4358,2878,4334,2954,4314,3032,4298,3110,4285,3189,4277,3268,4272,3348,4272,3428,4275,3508,4282,3588,4293,3668,4308,3748,4327,3827,5909,3403,4491,2584xe" filled="true" fillcolor="#96b8df" stroked="false">
              <v:path arrowok="t"/>
              <v:fill type="solid"/>
            </v:shape>
            <v:shape style="position:absolute;left:4626;top:1635;width:1419;height:1513" coordorigin="4627,1635" coordsize="1419,1513" path="m5418,1635l5348,1667,5279,1701,5212,1738,5147,1779,5084,1822,5024,1868,4965,1917,4909,1969,4855,2023,4804,2080,4756,2139,4710,2200,4667,2264,4627,2330,6045,3148,5418,1635xe" filled="true" fillcolor="#f0a789" stroked="false">
              <v:path arrowok="t"/>
              <v:fill type="solid"/>
            </v:shape>
            <v:shape style="position:absolute;left:5608;top:1417;width:627;height:1638" coordorigin="5608,1417" coordsize="627,1638" path="m6235,1417l6155,1419,6074,1425,5995,1435,5916,1448,5837,1466,5760,1487,5684,1513,5608,1542,6235,3055,6235,1417xe" filled="true" fillcolor="#c6c8ca" stroked="false">
              <v:path arrowok="t"/>
              <v:fill type="solid"/>
            </v:shape>
            <v:shape style="position:absolute;left:7761;top:2006;width:96;height:3" coordorigin="7762,2007" coordsize="96,3" path="m7762,2009l7769,2007,7858,2007e" filled="false" stroked="true" strokeweight=".72pt" strokecolor="#b2b4b6">
              <v:path arrowok="t"/>
              <v:stroke dashstyle="solid"/>
            </v:shape>
            <v:rect style="position:absolute;left:7953;top:1879;width:101;height:101" filled="true" fillcolor="#5088bb" stroked="false">
              <v:fill type="solid"/>
            </v:rect>
            <v:rect style="position:absolute;left:8234;top:4630;width:101;height:101" filled="true" fillcolor="#d26d2a" stroked="false">
              <v:fill type="solid"/>
            </v:rect>
            <v:rect style="position:absolute;left:4730;top:5357;width:101;height:101" filled="true" fillcolor="#a2a4a6" stroked="false">
              <v:fill type="solid"/>
            </v:rect>
            <v:rect style="position:absolute;left:3516;top:4922;width:101;height:101" filled="true" fillcolor="#e1aa00" stroked="false">
              <v:fill type="solid"/>
            </v:rect>
            <v:rect style="position:absolute;left:2736;top:4171;width:101;height:101" filled="true" fillcolor="#3a63ac" stroked="false">
              <v:fill type="solid"/>
            </v:rect>
            <v:rect style="position:absolute;left:3230;top:3002;width:101;height:101" filled="true" fillcolor="#96b8df" stroked="false">
              <v:fill type="solid"/>
            </v:rect>
            <v:rect style="position:absolute;left:3516;top:1502;width:101;height:101" filled="true" fillcolor="#f0a789" stroked="false">
              <v:fill type="solid"/>
            </v:rect>
            <v:rect style="position:absolute;left:5299;top:1022;width:101;height:101" filled="true" fillcolor="#c6c8ca" stroked="false">
              <v:fill type="solid"/>
            </v:rect>
            <v:rect style="position:absolute;left:1800;top:316;width:9030;height:5730" filled="false" stroked="true" strokeweight=".75pt" strokecolor="#dcddde">
              <v:stroke dashstyle="solid"/>
            </v:rect>
            <v:shape style="position:absolute;left:3712;top:479;width:4858;height:1194" type="#_x0000_t202" filled="false" stroked="false">
              <v:textbox inset="0,0,0,0">
                <w:txbxContent>
                  <w:p>
                    <w:pPr>
                      <w:spacing w:line="357" w:lineRule="exact" w:before="0"/>
                      <w:ind w:left="366" w:right="0" w:firstLine="0"/>
                      <w:jc w:val="left"/>
                      <w:rPr>
                        <w:b/>
                        <w:sz w:val="32"/>
                      </w:rPr>
                    </w:pPr>
                    <w:r>
                      <w:rPr>
                        <w:b/>
                        <w:color w:val="77787B"/>
                        <w:sz w:val="32"/>
                      </w:rPr>
                      <w:t>DSS PEEL: DISABILITY TYPE</w:t>
                    </w:r>
                  </w:p>
                  <w:p>
                    <w:pPr>
                      <w:spacing w:before="127"/>
                      <w:ind w:left="1791" w:right="2012" w:firstLine="0"/>
                      <w:jc w:val="center"/>
                      <w:rPr>
                        <w:b/>
                        <w:sz w:val="20"/>
                      </w:rPr>
                    </w:pPr>
                    <w:r>
                      <w:rPr>
                        <w:b/>
                        <w:color w:val="7E8082"/>
                        <w:w w:val="95"/>
                        <w:sz w:val="20"/>
                      </w:rPr>
                      <w:t>Psychiatric </w:t>
                    </w:r>
                    <w:r>
                      <w:rPr>
                        <w:b/>
                        <w:color w:val="7E8082"/>
                        <w:sz w:val="20"/>
                      </w:rPr>
                      <w:t>6%</w:t>
                    </w:r>
                  </w:p>
                  <w:p>
                    <w:pPr>
                      <w:spacing w:before="20"/>
                      <w:ind w:left="0" w:right="0" w:firstLine="0"/>
                      <w:jc w:val="left"/>
                      <w:rPr>
                        <w:b/>
                        <w:sz w:val="20"/>
                      </w:rPr>
                    </w:pPr>
                    <w:r>
                      <w:rPr>
                        <w:b/>
                        <w:color w:val="9E470E"/>
                        <w:sz w:val="20"/>
                      </w:rPr>
                      <w:t>Neurological</w:t>
                    </w:r>
                  </w:p>
                </w:txbxContent>
              </v:textbox>
              <w10:wrap type="none"/>
            </v:shape>
            <v:shape style="position:absolute;left:4118;top:1680;width:418;height:223" type="#_x0000_t202" filled="false" stroked="false">
              <v:textbox inset="0,0,0,0">
                <w:txbxContent>
                  <w:p>
                    <w:pPr>
                      <w:spacing w:line="223" w:lineRule="exact" w:before="0"/>
                      <w:ind w:left="0" w:right="0" w:firstLine="0"/>
                      <w:jc w:val="left"/>
                      <w:rPr>
                        <w:b/>
                        <w:sz w:val="20"/>
                      </w:rPr>
                    </w:pPr>
                    <w:r>
                      <w:rPr>
                        <w:b/>
                        <w:color w:val="9E470E"/>
                        <w:sz w:val="20"/>
                      </w:rPr>
                      <w:t>11%</w:t>
                    </w:r>
                  </w:p>
                </w:txbxContent>
              </v:textbox>
              <w10:wrap type="none"/>
            </v:shape>
            <v:shape style="position:absolute;left:8151;top:1827;width:1062;height:454" type="#_x0000_t202" filled="false" stroked="false">
              <v:textbox inset="0,0,0,0">
                <w:txbxContent>
                  <w:p>
                    <w:pPr>
                      <w:spacing w:line="240" w:lineRule="auto" w:before="0"/>
                      <w:ind w:left="324" w:right="0" w:hanging="325"/>
                      <w:jc w:val="left"/>
                      <w:rPr>
                        <w:b/>
                        <w:sz w:val="20"/>
                      </w:rPr>
                    </w:pPr>
                    <w:r>
                      <w:rPr>
                        <w:b/>
                        <w:color w:val="5B9BD4"/>
                        <w:w w:val="95"/>
                        <w:sz w:val="20"/>
                      </w:rPr>
                      <w:t>Intellectual </w:t>
                    </w:r>
                    <w:r>
                      <w:rPr>
                        <w:b/>
                        <w:color w:val="5B9BD4"/>
                        <w:sz w:val="20"/>
                      </w:rPr>
                      <w:t>25%</w:t>
                    </w:r>
                  </w:p>
                </w:txbxContent>
              </v:textbox>
              <w10:wrap type="none"/>
            </v:shape>
            <v:shape style="position:absolute;left:3429;top:2950;width:825;height:454" type="#_x0000_t202" filled="false" stroked="false">
              <v:textbox inset="0,0,0,0">
                <w:txbxContent>
                  <w:p>
                    <w:pPr>
                      <w:spacing w:line="240" w:lineRule="auto" w:before="0"/>
                      <w:ind w:left="203" w:right="-6" w:hanging="204"/>
                      <w:jc w:val="left"/>
                      <w:rPr>
                        <w:b/>
                        <w:sz w:val="20"/>
                      </w:rPr>
                    </w:pPr>
                    <w:r>
                      <w:rPr>
                        <w:b/>
                        <w:color w:val="245E91"/>
                        <w:sz w:val="20"/>
                      </w:rPr>
                      <w:t>Physical 13%</w:t>
                    </w:r>
                  </w:p>
                </w:txbxContent>
              </v:textbox>
              <w10:wrap type="none"/>
            </v:shape>
            <v:shape style="position:absolute;left:2932;top:4120;width:1842;height:1434" type="#_x0000_t202" filled="false" stroked="false">
              <v:textbox inset="0,0,0,0">
                <w:txbxContent>
                  <w:p>
                    <w:pPr>
                      <w:spacing w:line="240" w:lineRule="auto" w:before="0"/>
                      <w:ind w:left="0" w:right="420" w:firstLine="0"/>
                      <w:jc w:val="center"/>
                      <w:rPr>
                        <w:b/>
                        <w:sz w:val="20"/>
                      </w:rPr>
                    </w:pPr>
                    <w:r>
                      <w:rPr>
                        <w:b/>
                        <w:color w:val="4471C4"/>
                        <w:spacing w:val="-1"/>
                        <w:sz w:val="20"/>
                      </w:rPr>
                      <w:t>Developmental </w:t>
                    </w:r>
                    <w:r>
                      <w:rPr>
                        <w:b/>
                        <w:color w:val="4471C4"/>
                        <w:sz w:val="20"/>
                      </w:rPr>
                      <w:t>Delay</w:t>
                    </w:r>
                  </w:p>
                  <w:p>
                    <w:pPr>
                      <w:spacing w:before="0"/>
                      <w:ind w:left="566" w:right="0" w:firstLine="0"/>
                      <w:jc w:val="left"/>
                      <w:rPr>
                        <w:b/>
                        <w:sz w:val="20"/>
                      </w:rPr>
                    </w:pPr>
                    <w:r>
                      <w:rPr>
                        <w:b/>
                        <w:color w:val="4471C4"/>
                        <w:sz w:val="20"/>
                      </w:rPr>
                      <w:t>4%</w:t>
                    </w:r>
                  </w:p>
                  <w:p>
                    <w:pPr>
                      <w:spacing w:before="53"/>
                      <w:ind w:left="781" w:right="22" w:firstLine="0"/>
                      <w:jc w:val="center"/>
                      <w:rPr>
                        <w:b/>
                        <w:sz w:val="20"/>
                      </w:rPr>
                    </w:pPr>
                    <w:r>
                      <w:rPr>
                        <w:b/>
                        <w:color w:val="FFC000"/>
                        <w:sz w:val="20"/>
                      </w:rPr>
                      <w:t>Sensory</w:t>
                    </w:r>
                    <w:r>
                      <w:rPr>
                        <w:b/>
                        <w:color w:val="FFC000"/>
                        <w:spacing w:val="-6"/>
                        <w:sz w:val="20"/>
                      </w:rPr>
                      <w:t> </w:t>
                    </w:r>
                    <w:r>
                      <w:rPr>
                        <w:b/>
                        <w:color w:val="FFC000"/>
                        <w:sz w:val="20"/>
                      </w:rPr>
                      <w:t>or Speech 6%</w:t>
                    </w:r>
                  </w:p>
                </w:txbxContent>
              </v:textbox>
              <w10:wrap type="none"/>
            </v:shape>
            <v:shape style="position:absolute;left:8437;top:4578;width:690;height:454" type="#_x0000_t202" filled="false" stroked="false">
              <v:textbox inset="0,0,0,0">
                <w:txbxContent>
                  <w:p>
                    <w:pPr>
                      <w:spacing w:line="240" w:lineRule="auto" w:before="0"/>
                      <w:ind w:left="136" w:right="0" w:hanging="137"/>
                      <w:jc w:val="left"/>
                      <w:rPr>
                        <w:b/>
                        <w:sz w:val="20"/>
                      </w:rPr>
                    </w:pPr>
                    <w:r>
                      <w:rPr>
                        <w:b/>
                        <w:color w:val="EC7C30"/>
                        <w:w w:val="95"/>
                        <w:sz w:val="20"/>
                      </w:rPr>
                      <w:t>Autism </w:t>
                    </w:r>
                    <w:r>
                      <w:rPr>
                        <w:b/>
                        <w:color w:val="EC7C30"/>
                        <w:sz w:val="20"/>
                      </w:rPr>
                      <w:t>31%</w:t>
                    </w:r>
                  </w:p>
                </w:txbxContent>
              </v:textbox>
              <w10:wrap type="none"/>
            </v:shape>
            <v:shape style="position:absolute;left:4931;top:5305;width:357;height:454" type="#_x0000_t202" filled="false" stroked="false">
              <v:textbox inset="0,0,0,0">
                <w:txbxContent>
                  <w:p>
                    <w:pPr>
                      <w:spacing w:line="240" w:lineRule="auto" w:before="0"/>
                      <w:ind w:left="24" w:right="-7" w:hanging="25"/>
                      <w:jc w:val="left"/>
                      <w:rPr>
                        <w:b/>
                        <w:sz w:val="20"/>
                      </w:rPr>
                    </w:pPr>
                    <w:r>
                      <w:rPr>
                        <w:b/>
                        <w:color w:val="B1B3B5"/>
                        <w:sz w:val="20"/>
                      </w:rPr>
                      <w:t>ABI 4%</w:t>
                    </w:r>
                  </w:p>
                </w:txbxContent>
              </v:textbox>
              <w10:wrap type="none"/>
            </v:shape>
            <w10:wrap type="topAndBottom"/>
          </v:group>
        </w:pict>
      </w:r>
    </w:p>
    <w:p>
      <w:pPr>
        <w:pStyle w:val="BodyText"/>
        <w:rPr>
          <w:sz w:val="20"/>
        </w:rPr>
      </w:pPr>
    </w:p>
    <w:p>
      <w:pPr>
        <w:pStyle w:val="BodyText"/>
        <w:rPr>
          <w:sz w:val="20"/>
        </w:rPr>
      </w:pPr>
    </w:p>
    <w:p>
      <w:pPr>
        <w:pStyle w:val="BodyText"/>
        <w:spacing w:before="9"/>
        <w:rPr>
          <w:sz w:val="23"/>
        </w:rPr>
      </w:pPr>
    </w:p>
    <w:p>
      <w:pPr>
        <w:pStyle w:val="BodyText"/>
        <w:spacing w:before="92"/>
        <w:ind w:left="2546"/>
      </w:pPr>
      <w:r>
        <w:rPr>
          <w:color w:val="44536A"/>
        </w:rPr>
        <w:t>Annual Report 2014 – 2015</w:t>
      </w:r>
    </w:p>
    <w:p>
      <w:pPr>
        <w:pStyle w:val="BodyText"/>
        <w:spacing w:before="27"/>
        <w:ind w:right="1213"/>
        <w:jc w:val="right"/>
      </w:pPr>
      <w:r>
        <w:rPr>
          <w:color w:val="44536A"/>
        </w:rPr>
        <w:t>Page 17</w:t>
      </w:r>
    </w:p>
    <w:p>
      <w:pPr>
        <w:spacing w:after="0"/>
        <w:jc w:val="right"/>
        <w:sectPr>
          <w:headerReference w:type="default" r:id="rId37"/>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rPr>
          <w:sz w:val="20"/>
        </w:rPr>
      </w:pPr>
    </w:p>
    <w:p>
      <w:pPr>
        <w:pStyle w:val="BodyText"/>
        <w:spacing w:before="1"/>
        <w:rPr>
          <w:sz w:val="17"/>
        </w:rPr>
      </w:pPr>
    </w:p>
    <w:tbl>
      <w:tblPr>
        <w:tblW w:w="0" w:type="auto"/>
        <w:jc w:val="left"/>
        <w:tblInd w:w="1332" w:type="dxa"/>
        <w:tblBorders>
          <w:top w:val="single" w:sz="8" w:space="0" w:color="EC7C30"/>
          <w:left w:val="single" w:sz="8" w:space="0" w:color="EC7C30"/>
          <w:bottom w:val="single" w:sz="8" w:space="0" w:color="EC7C30"/>
          <w:right w:val="single" w:sz="8" w:space="0" w:color="EC7C30"/>
          <w:insideH w:val="single" w:sz="8" w:space="0" w:color="EC7C30"/>
          <w:insideV w:val="single" w:sz="8" w:space="0" w:color="EC7C30"/>
        </w:tblBorders>
        <w:tblLayout w:type="fixed"/>
        <w:tblCellMar>
          <w:top w:w="0" w:type="dxa"/>
          <w:left w:w="0" w:type="dxa"/>
          <w:bottom w:w="0" w:type="dxa"/>
          <w:right w:w="0" w:type="dxa"/>
        </w:tblCellMar>
        <w:tblLook w:val="01E0"/>
      </w:tblPr>
      <w:tblGrid>
        <w:gridCol w:w="4287"/>
        <w:gridCol w:w="4597"/>
      </w:tblGrid>
      <w:tr>
        <w:trPr>
          <w:trHeight w:val="369" w:hRule="atLeast"/>
        </w:trPr>
        <w:tc>
          <w:tcPr>
            <w:tcW w:w="4287" w:type="dxa"/>
            <w:tcBorders>
              <w:top w:val="nil"/>
              <w:left w:val="nil"/>
              <w:bottom w:val="nil"/>
              <w:right w:val="nil"/>
            </w:tcBorders>
            <w:shd w:val="clear" w:color="auto" w:fill="EC7C30"/>
          </w:tcPr>
          <w:p>
            <w:pPr>
              <w:pStyle w:val="TableParagraph"/>
              <w:spacing w:before="5"/>
              <w:ind w:left="117"/>
              <w:rPr>
                <w:rFonts w:ascii="Arial"/>
                <w:b/>
                <w:sz w:val="24"/>
              </w:rPr>
            </w:pPr>
            <w:r>
              <w:rPr>
                <w:rFonts w:ascii="Arial"/>
                <w:b/>
                <w:color w:val="FFFFFF"/>
                <w:sz w:val="24"/>
              </w:rPr>
              <w:t>Advocacy issue DSS Peel</w:t>
            </w:r>
          </w:p>
        </w:tc>
        <w:tc>
          <w:tcPr>
            <w:tcW w:w="4597" w:type="dxa"/>
            <w:tcBorders>
              <w:top w:val="nil"/>
              <w:left w:val="nil"/>
              <w:bottom w:val="nil"/>
              <w:right w:val="nil"/>
            </w:tcBorders>
            <w:shd w:val="clear" w:color="auto" w:fill="EC7C30"/>
          </w:tcPr>
          <w:p>
            <w:pPr>
              <w:pStyle w:val="TableParagraph"/>
              <w:spacing w:before="5"/>
              <w:ind w:left="1003"/>
              <w:rPr>
                <w:rFonts w:ascii="Arial"/>
                <w:b/>
                <w:sz w:val="24"/>
              </w:rPr>
            </w:pPr>
            <w:r>
              <w:rPr>
                <w:rFonts w:ascii="Arial"/>
                <w:b/>
                <w:color w:val="FFFFFF"/>
                <w:sz w:val="24"/>
              </w:rPr>
              <w:t>Number</w:t>
            </w:r>
          </w:p>
        </w:tc>
      </w:tr>
      <w:tr>
        <w:trPr>
          <w:trHeight w:val="340" w:hRule="atLeast"/>
        </w:trPr>
        <w:tc>
          <w:tcPr>
            <w:tcW w:w="4287" w:type="dxa"/>
            <w:tcBorders>
              <w:top w:val="nil"/>
              <w:right w:val="nil"/>
            </w:tcBorders>
          </w:tcPr>
          <w:p>
            <w:pPr>
              <w:pStyle w:val="TableParagraph"/>
              <w:spacing w:line="272" w:lineRule="exact"/>
              <w:ind w:left="107"/>
              <w:rPr>
                <w:rFonts w:ascii="Arial"/>
                <w:b/>
                <w:sz w:val="24"/>
              </w:rPr>
            </w:pPr>
            <w:r>
              <w:rPr>
                <w:rFonts w:ascii="Arial"/>
                <w:b/>
                <w:color w:val="231F20"/>
                <w:sz w:val="24"/>
              </w:rPr>
              <w:t>Accommodation/Housing</w:t>
            </w:r>
          </w:p>
        </w:tc>
        <w:tc>
          <w:tcPr>
            <w:tcW w:w="4597" w:type="dxa"/>
            <w:tcBorders>
              <w:top w:val="nil"/>
              <w:left w:val="nil"/>
            </w:tcBorders>
          </w:tcPr>
          <w:p>
            <w:pPr>
              <w:pStyle w:val="TableParagraph"/>
              <w:spacing w:line="272" w:lineRule="exact"/>
              <w:ind w:left="1003"/>
              <w:rPr>
                <w:rFonts w:ascii="Arial"/>
                <w:sz w:val="24"/>
              </w:rPr>
            </w:pPr>
            <w:r>
              <w:rPr>
                <w:rFonts w:ascii="Arial"/>
                <w:color w:val="231F20"/>
                <w:sz w:val="24"/>
              </w:rPr>
              <w:t>9</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Discrimination/Rights</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Education</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14</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Finances</w:t>
            </w:r>
          </w:p>
        </w:tc>
        <w:tc>
          <w:tcPr>
            <w:tcW w:w="4597" w:type="dxa"/>
            <w:tcBorders>
              <w:left w:val="nil"/>
            </w:tcBorders>
          </w:tcPr>
          <w:p>
            <w:pPr>
              <w:pStyle w:val="TableParagraph"/>
              <w:spacing w:line="271" w:lineRule="exact"/>
              <w:ind w:left="1003"/>
              <w:rPr>
                <w:rFonts w:ascii="Arial"/>
                <w:sz w:val="24"/>
              </w:rPr>
            </w:pPr>
            <w:r>
              <w:rPr>
                <w:rFonts w:ascii="Arial"/>
                <w:color w:val="231F20"/>
                <w:sz w:val="24"/>
              </w:rPr>
              <w:t>4</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Health</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Legal</w:t>
            </w:r>
          </w:p>
        </w:tc>
        <w:tc>
          <w:tcPr>
            <w:tcW w:w="4597" w:type="dxa"/>
            <w:tcBorders>
              <w:left w:val="nil"/>
            </w:tcBorders>
          </w:tcPr>
          <w:p>
            <w:pPr>
              <w:pStyle w:val="TableParagraph"/>
              <w:spacing w:line="271" w:lineRule="exact"/>
              <w:ind w:left="1003"/>
              <w:rPr>
                <w:rFonts w:ascii="Arial"/>
                <w:sz w:val="24"/>
              </w:rPr>
            </w:pPr>
            <w:r>
              <w:rPr>
                <w:rFonts w:ascii="Arial"/>
                <w:color w:val="231F20"/>
                <w:sz w:val="24"/>
              </w:rPr>
              <w:t>2</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Recreation/Social or Family</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Services</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19</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Transport</w:t>
            </w:r>
          </w:p>
        </w:tc>
        <w:tc>
          <w:tcPr>
            <w:tcW w:w="4597" w:type="dxa"/>
            <w:tcBorders>
              <w:left w:val="nil"/>
            </w:tcBorders>
          </w:tcPr>
          <w:p>
            <w:pPr>
              <w:pStyle w:val="TableParagraph"/>
              <w:spacing w:line="271" w:lineRule="exact"/>
              <w:ind w:left="1003"/>
              <w:rPr>
                <w:rFonts w:ascii="Arial"/>
                <w:sz w:val="24"/>
              </w:rPr>
            </w:pPr>
            <w:r>
              <w:rPr>
                <w:rFonts w:ascii="Arial"/>
                <w:color w:val="231F20"/>
                <w:sz w:val="24"/>
              </w:rPr>
              <w:t>3</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Funding</w:t>
            </w:r>
          </w:p>
        </w:tc>
        <w:tc>
          <w:tcPr>
            <w:tcW w:w="4597" w:type="dxa"/>
            <w:tcBorders>
              <w:left w:val="nil"/>
            </w:tcBorders>
          </w:tcPr>
          <w:p>
            <w:pPr>
              <w:pStyle w:val="TableParagraph"/>
              <w:spacing w:line="271" w:lineRule="exact"/>
              <w:ind w:left="1003"/>
              <w:rPr>
                <w:rFonts w:ascii="Arial"/>
                <w:sz w:val="24"/>
              </w:rPr>
            </w:pPr>
            <w:r>
              <w:rPr>
                <w:rFonts w:ascii="Arial"/>
                <w:color w:val="231F20"/>
                <w:sz w:val="24"/>
              </w:rPr>
              <w:t>4</w:t>
            </w:r>
          </w:p>
        </w:tc>
      </w:tr>
      <w:tr>
        <w:trPr>
          <w:trHeight w:val="340" w:hRule="atLeast"/>
        </w:trPr>
        <w:tc>
          <w:tcPr>
            <w:tcW w:w="4287" w:type="dxa"/>
            <w:tcBorders>
              <w:right w:val="nil"/>
            </w:tcBorders>
          </w:tcPr>
          <w:p>
            <w:pPr>
              <w:pStyle w:val="TableParagraph"/>
              <w:spacing w:line="272" w:lineRule="exact"/>
              <w:ind w:left="107"/>
              <w:rPr>
                <w:rFonts w:ascii="Arial"/>
                <w:b/>
                <w:sz w:val="24"/>
              </w:rPr>
            </w:pPr>
            <w:r>
              <w:rPr>
                <w:rFonts w:ascii="Arial"/>
                <w:b/>
                <w:color w:val="231F20"/>
                <w:sz w:val="24"/>
              </w:rPr>
              <w:t>Eligibility</w:t>
            </w:r>
          </w:p>
        </w:tc>
        <w:tc>
          <w:tcPr>
            <w:tcW w:w="4597" w:type="dxa"/>
            <w:tcBorders>
              <w:left w:val="nil"/>
            </w:tcBorders>
          </w:tcPr>
          <w:p>
            <w:pPr>
              <w:pStyle w:val="TableParagraph"/>
              <w:spacing w:line="272" w:lineRule="exact"/>
              <w:ind w:left="1003"/>
              <w:rPr>
                <w:rFonts w:ascii="Arial"/>
                <w:sz w:val="24"/>
              </w:rPr>
            </w:pPr>
            <w:r>
              <w:rPr>
                <w:rFonts w:ascii="Arial"/>
                <w:color w:val="231F20"/>
                <w:sz w:val="24"/>
              </w:rPr>
              <w:t>4</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Independent Living Support</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w:t>
            </w:r>
          </w:p>
        </w:tc>
      </w:tr>
      <w:tr>
        <w:trPr>
          <w:trHeight w:val="340" w:hRule="atLeast"/>
        </w:trPr>
        <w:tc>
          <w:tcPr>
            <w:tcW w:w="4287" w:type="dxa"/>
            <w:tcBorders>
              <w:right w:val="nil"/>
            </w:tcBorders>
          </w:tcPr>
          <w:p>
            <w:pPr>
              <w:pStyle w:val="TableParagraph"/>
              <w:spacing w:line="271" w:lineRule="exact"/>
              <w:ind w:left="107"/>
              <w:rPr>
                <w:rFonts w:ascii="Arial"/>
                <w:b/>
                <w:sz w:val="24"/>
              </w:rPr>
            </w:pPr>
            <w:r>
              <w:rPr>
                <w:rFonts w:ascii="Arial"/>
                <w:b/>
                <w:color w:val="231F20"/>
                <w:sz w:val="24"/>
              </w:rPr>
              <w:t>Subsidies and entitlements</w:t>
            </w:r>
          </w:p>
        </w:tc>
        <w:tc>
          <w:tcPr>
            <w:tcW w:w="4597" w:type="dxa"/>
            <w:tcBorders>
              <w:left w:val="nil"/>
            </w:tcBorders>
          </w:tcPr>
          <w:p>
            <w:pPr>
              <w:pStyle w:val="TableParagraph"/>
              <w:spacing w:line="271" w:lineRule="exact"/>
              <w:ind w:left="1003"/>
              <w:rPr>
                <w:rFonts w:ascii="Arial"/>
                <w:sz w:val="24"/>
              </w:rPr>
            </w:pPr>
            <w:r>
              <w:rPr>
                <w:rFonts w:ascii="Arial"/>
                <w:color w:val="231F20"/>
                <w:sz w:val="24"/>
              </w:rPr>
              <w:t>1</w:t>
            </w:r>
          </w:p>
        </w:tc>
      </w:tr>
    </w:tbl>
    <w:p>
      <w:pPr>
        <w:pStyle w:val="BodyText"/>
        <w:rPr>
          <w:sz w:val="20"/>
        </w:rPr>
      </w:pPr>
    </w:p>
    <w:p>
      <w:pPr>
        <w:pStyle w:val="BodyText"/>
        <w:rPr>
          <w:sz w:val="20"/>
        </w:rPr>
      </w:pPr>
    </w:p>
    <w:p>
      <w:pPr>
        <w:pStyle w:val="BodyText"/>
        <w:rPr>
          <w:sz w:val="28"/>
        </w:rPr>
      </w:pPr>
    </w:p>
    <w:p>
      <w:pPr>
        <w:pStyle w:val="Heading3"/>
        <w:spacing w:line="240" w:lineRule="auto" w:before="92"/>
        <w:ind w:left="2100"/>
      </w:pPr>
      <w:r>
        <w:rPr/>
        <w:pict>
          <v:shape style="position:absolute;margin-left:77.900002pt;margin-top:-18.864128pt;width:437.25pt;height:390.75pt;mso-position-horizontal-relative:page;mso-position-vertical-relative:paragraph;z-index:-83872" coordorigin="1558,-377" coordsize="8745,7815" path="m1558,879l1560,803,1567,727,1578,653,1594,581,1613,510,1637,441,1664,374,1695,308,1730,245,1768,184,1809,126,1854,70,1901,16,1952,-34,2005,-82,2061,-126,2119,-168,2180,-206,2244,-240,2309,-271,2376,-299,2445,-322,2516,-342,2589,-357,2663,-368,2738,-375,2815,-377,9046,-377,9123,-375,9198,-368,9272,-357,9345,-342,9416,-322,9485,-299,9552,-271,9617,-240,9681,-206,9742,-168,9800,-126,9856,-82,9909,-34,9960,16,10007,70,10052,126,10093,184,10131,245,10166,308,10197,374,10224,441,10248,510,10267,581,10283,653,10294,727,10301,803,10303,879,10303,6181,10301,6258,10294,6333,10283,6407,10267,6480,10248,6550,10224,6620,10197,6687,10166,6752,10131,6815,10093,6876,10052,6935,10007,6991,9960,7044,9909,7095,9856,7142,9800,7187,9742,7228,9681,7266,9617,7301,9552,7332,9485,7359,9416,7383,9345,7402,9272,7417,9198,7429,9123,7435,9046,7438,2815,7438,2738,7435,2663,7429,2589,7417,2516,7402,2445,7383,2376,7359,2309,7332,2244,7301,2180,7266,2119,7228,2061,7187,2005,7142,1952,7095,1901,7044,1854,6991,1809,6935,1768,6876,1730,6815,1695,6752,1664,6687,1637,6620,1613,6550,1594,6480,1578,6407,1567,6333,1560,6258,1558,6181,1558,879xe" filled="false" stroked="true" strokeweight="3pt" strokecolor="#4f81bc">
            <v:path arrowok="t"/>
            <v:stroke dashstyle="solid"/>
            <w10:wrap type="none"/>
          </v:shape>
        </w:pict>
      </w:r>
      <w:r>
        <w:rPr>
          <w:color w:val="231F20"/>
        </w:rPr>
        <w:t>Case Study</w:t>
      </w:r>
    </w:p>
    <w:p>
      <w:pPr>
        <w:pStyle w:val="BodyText"/>
        <w:spacing w:before="10"/>
        <w:rPr>
          <w:b/>
          <w:sz w:val="20"/>
        </w:rPr>
      </w:pPr>
    </w:p>
    <w:p>
      <w:pPr>
        <w:pStyle w:val="BodyText"/>
        <w:spacing w:line="276" w:lineRule="auto"/>
        <w:ind w:left="2100" w:right="1992"/>
      </w:pPr>
      <w:r>
        <w:rPr>
          <w:color w:val="231F20"/>
        </w:rPr>
        <w:t>Peter had a job he enjoyed but there were problems with how he was being treated by his employer. Peter has an intellectual disability and did have some support from an employment service. He was sacked from his job after the employer had a number of confrontations with him and his employment service about training and wage subsidies. Peter called the PWdWA office looking for services to help with the legal support to make an unfair dismissal claim. An action plan was developed with Peter to detail his issue and the actions needed. It was decided that the Advocate would research possible agencies that could assist and Peter would contact the agencies provided with support from his employment service if needed. The Advocate completed research into the specific legal service to assist. The Advocate called several legal services before she could find one with the right expertise and capacity. The Advocate contacted the legal service to ensure that they had the capacity to take on Peter’s specific issue. Peter contacted the legal service who also let the Advocate know that contact had been made and they were working on the case. The result was that Peter was able to make decisions and exercise control over which services could assist with his legal matter and was supported to connect with that service.</w:t>
      </w: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before="92"/>
        <w:ind w:left="2186"/>
      </w:pPr>
      <w:r>
        <w:rPr>
          <w:color w:val="44536A"/>
        </w:rPr>
        <w:t>Annual Report 2014 – 2015</w:t>
      </w:r>
    </w:p>
    <w:p>
      <w:pPr>
        <w:pStyle w:val="BodyText"/>
        <w:spacing w:before="27"/>
        <w:ind w:right="1573"/>
        <w:jc w:val="right"/>
      </w:pPr>
      <w:r>
        <w:rPr>
          <w:color w:val="44536A"/>
        </w:rPr>
        <w:t>Page 18</w:t>
      </w:r>
    </w:p>
    <w:p>
      <w:pPr>
        <w:spacing w:after="0"/>
        <w:jc w:val="right"/>
        <w:sectPr>
          <w:headerReference w:type="default" r:id="rId38"/>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Heading4"/>
        <w:spacing w:before="92"/>
        <w:jc w:val="left"/>
        <w:rPr>
          <w:i/>
        </w:rPr>
      </w:pPr>
      <w:r>
        <w:rPr>
          <w:i/>
          <w:color w:val="231F20"/>
        </w:rPr>
        <w:t>DSS Audit Surveillance</w:t>
      </w:r>
    </w:p>
    <w:p>
      <w:pPr>
        <w:pStyle w:val="BodyText"/>
        <w:spacing w:line="276" w:lineRule="auto" w:before="123"/>
        <w:ind w:left="1800" w:right="1216"/>
        <w:jc w:val="both"/>
      </w:pPr>
      <w:r>
        <w:rPr>
          <w:color w:val="231F20"/>
        </w:rPr>
        <w:t>PWdWA Individual Advocacy services in Nedlands and Mandurah were audited in May 2015 against the National Standards for Disability Services. According to the assessment report, clients interviewed reported that their Individual Advocate treated them in a friendly manner and were non-judgemental. Clients also mentioned that any actions, letters, phone calls by PWdWA on their behalf were all agreed prior to any action being taken. The communication was noted to be open, honest and within relevant and realistic timeframes. Finally, interviews with clients and review of documentation identified that PWdWA Individual Advocacy Team is committed to supporting and assisting clients to achieve their desired outcome without unnecessary</w:t>
      </w:r>
      <w:r>
        <w:rPr>
          <w:color w:val="231F20"/>
          <w:spacing w:val="-7"/>
        </w:rPr>
        <w:t> </w:t>
      </w:r>
      <w:r>
        <w:rPr>
          <w:color w:val="231F20"/>
        </w:rPr>
        <w:t>restrictions.</w:t>
      </w:r>
    </w:p>
    <w:p>
      <w:pPr>
        <w:pStyle w:val="BodyText"/>
        <w:spacing w:before="199"/>
        <w:ind w:left="1800"/>
      </w:pPr>
      <w:r>
        <w:rPr>
          <w:color w:val="231F20"/>
        </w:rPr>
        <w:t>All examples and case studies have been de-identified.</w:t>
      </w:r>
    </w:p>
    <w:p>
      <w:pPr>
        <w:pStyle w:val="BodyText"/>
        <w:spacing w:before="9"/>
        <w:rPr>
          <w:sz w:val="26"/>
        </w:rPr>
      </w:pPr>
      <w:r>
        <w:rPr/>
        <w:drawing>
          <wp:anchor distT="0" distB="0" distL="0" distR="0" allowOverlap="1" layoutInCell="1" locked="0" behindDoc="0" simplePos="0" relativeHeight="2320">
            <wp:simplePos x="0" y="0"/>
            <wp:positionH relativeFrom="page">
              <wp:posOffset>1228344</wp:posOffset>
            </wp:positionH>
            <wp:positionV relativeFrom="paragraph">
              <wp:posOffset>220335</wp:posOffset>
            </wp:positionV>
            <wp:extent cx="5601429" cy="3767328"/>
            <wp:effectExtent l="0" t="0" r="0" b="0"/>
            <wp:wrapTopAndBottom/>
            <wp:docPr id="17" name="image20.jpeg" descr=""/>
            <wp:cNvGraphicFramePr>
              <a:graphicFrameLocks noChangeAspect="1"/>
            </wp:cNvGraphicFramePr>
            <a:graphic>
              <a:graphicData uri="http://schemas.openxmlformats.org/drawingml/2006/picture">
                <pic:pic>
                  <pic:nvPicPr>
                    <pic:cNvPr id="18" name="image20.jpeg"/>
                    <pic:cNvPicPr/>
                  </pic:nvPicPr>
                  <pic:blipFill>
                    <a:blip r:embed="rId40" cstate="print"/>
                    <a:stretch>
                      <a:fillRect/>
                    </a:stretch>
                  </pic:blipFill>
                  <pic:spPr>
                    <a:xfrm>
                      <a:off x="0" y="0"/>
                      <a:ext cx="5601429" cy="3767328"/>
                    </a:xfrm>
                    <a:prstGeom prst="rect">
                      <a:avLst/>
                    </a:prstGeom>
                  </pic:spPr>
                </pic:pic>
              </a:graphicData>
            </a:graphic>
          </wp:anchor>
        </w:drawing>
      </w:r>
    </w:p>
    <w:p>
      <w:pPr>
        <w:pStyle w:val="BodyText"/>
        <w:spacing w:before="95"/>
        <w:ind w:left="2172"/>
      </w:pPr>
      <w:r>
        <w:rPr>
          <w:color w:val="231F20"/>
        </w:rPr>
        <w:t>PWdWA Staff</w:t>
      </w:r>
    </w:p>
    <w:p>
      <w:pPr>
        <w:pStyle w:val="BodyText"/>
        <w:spacing w:before="10"/>
        <w:rPr>
          <w:sz w:val="20"/>
        </w:rPr>
      </w:pPr>
    </w:p>
    <w:p>
      <w:pPr>
        <w:pStyle w:val="BodyText"/>
        <w:spacing w:line="278" w:lineRule="auto"/>
        <w:ind w:left="2172" w:right="1215"/>
      </w:pPr>
      <w:r>
        <w:rPr>
          <w:color w:val="231F20"/>
        </w:rPr>
        <w:t>Back Row: Debra Sommerfeld, Faye Hicks, Lisa Hook, Gio Terni, Rachael Cox, Bronwyn Lines, Peta Green</w:t>
      </w:r>
    </w:p>
    <w:p>
      <w:pPr>
        <w:pStyle w:val="BodyText"/>
        <w:spacing w:line="448" w:lineRule="auto" w:before="196"/>
        <w:ind w:left="2172" w:right="1614"/>
      </w:pPr>
      <w:r>
        <w:rPr>
          <w:color w:val="231F20"/>
        </w:rPr>
        <w:t>Front Row: Samantha Jenkinson, Carmen Pratts-Hincks, Stuart Jenkinson Absent: Judy Russell, Christina Wright, Natalie Turner, Carol Franklin</w:t>
      </w: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92"/>
        <w:ind w:left="2546"/>
      </w:pPr>
      <w:r>
        <w:rPr>
          <w:color w:val="44536A"/>
        </w:rPr>
        <w:t>Annual Report 2014 – 2015</w:t>
      </w:r>
    </w:p>
    <w:p>
      <w:pPr>
        <w:pStyle w:val="BodyText"/>
        <w:spacing w:before="27"/>
        <w:ind w:right="1213"/>
        <w:jc w:val="right"/>
      </w:pPr>
      <w:r>
        <w:rPr>
          <w:color w:val="44536A"/>
        </w:rPr>
        <w:t>Page 19</w:t>
      </w:r>
    </w:p>
    <w:p>
      <w:pPr>
        <w:spacing w:after="0"/>
        <w:jc w:val="right"/>
        <w:sectPr>
          <w:headerReference w:type="default" r:id="rId39"/>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ind w:left="1440"/>
      </w:pPr>
      <w:bookmarkStart w:name="_TOC_250006" w:id="11"/>
      <w:bookmarkEnd w:id="11"/>
      <w:r>
        <w:rPr>
          <w:color w:val="231F20"/>
        </w:rPr>
        <w:t>Information, Communication and social media</w:t>
      </w:r>
    </w:p>
    <w:p>
      <w:pPr>
        <w:pStyle w:val="BodyText"/>
        <w:spacing w:line="276" w:lineRule="auto" w:before="93"/>
        <w:ind w:left="1440" w:right="1577"/>
        <w:jc w:val="both"/>
      </w:pPr>
      <w:r>
        <w:rPr>
          <w:color w:val="231F20"/>
        </w:rPr>
        <w:t>PWdWA has continued to provide information and engage with members and the wider community through its website, eNews, Facebook and Twitter. The Website has recently been updated with various changes throughout the site to make it easier to find information. The most notable being changes to the About Us page to enable the general public to be able to find information about the organisation faster and easier. The Submissions page under Publications has been updated with all the latest submissions completed by the Systemic Advocacy team. The membership page has also been updated with an online membership application process.</w:t>
      </w:r>
    </w:p>
    <w:p>
      <w:pPr>
        <w:pStyle w:val="BodyText"/>
        <w:spacing w:line="276" w:lineRule="auto" w:before="199"/>
        <w:ind w:left="1440" w:right="1645"/>
      </w:pPr>
      <w:r>
        <w:rPr/>
        <w:drawing>
          <wp:anchor distT="0" distB="0" distL="0" distR="0" allowOverlap="1" layoutInCell="1" locked="0" behindDoc="1" simplePos="0" relativeHeight="268351679">
            <wp:simplePos x="0" y="0"/>
            <wp:positionH relativeFrom="page">
              <wp:posOffset>5591175</wp:posOffset>
            </wp:positionH>
            <wp:positionV relativeFrom="paragraph">
              <wp:posOffset>1663647</wp:posOffset>
            </wp:positionV>
            <wp:extent cx="609600" cy="609600"/>
            <wp:effectExtent l="0" t="0" r="0" b="0"/>
            <wp:wrapNone/>
            <wp:docPr id="19" name="image21.jpeg" descr=""/>
            <wp:cNvGraphicFramePr>
              <a:graphicFrameLocks noChangeAspect="1"/>
            </wp:cNvGraphicFramePr>
            <a:graphic>
              <a:graphicData uri="http://schemas.openxmlformats.org/drawingml/2006/picture">
                <pic:pic>
                  <pic:nvPicPr>
                    <pic:cNvPr id="20" name="image21.jpeg"/>
                    <pic:cNvPicPr/>
                  </pic:nvPicPr>
                  <pic:blipFill>
                    <a:blip r:embed="rId42" cstate="print"/>
                    <a:stretch>
                      <a:fillRect/>
                    </a:stretch>
                  </pic:blipFill>
                  <pic:spPr>
                    <a:xfrm>
                      <a:off x="0" y="0"/>
                      <a:ext cx="609600" cy="609600"/>
                    </a:xfrm>
                    <a:prstGeom prst="rect">
                      <a:avLst/>
                    </a:prstGeom>
                  </pic:spPr>
                </pic:pic>
              </a:graphicData>
            </a:graphic>
          </wp:anchor>
        </w:drawing>
      </w:r>
      <w:r>
        <w:rPr>
          <w:color w:val="231F20"/>
        </w:rPr>
        <w:t>The PWdWA Facebook page has more than doubled its reach meaning that more people are hearing about the services provided by the Individual Advocacy and Systemic Advocacy teams at PWdWA. Over 1000 people can potentially receive information and engage with us through Facebook and this is increasing weekly. Referrals, comments and information we can share often come through our Facebook page and it is an effective way of spreading information to key members and groups quickly. A number of the peer support groups we support also  have  Facebook  pages  which   provide   further   means   of communicating broadly to people with</w:t>
      </w:r>
      <w:r>
        <w:rPr>
          <w:color w:val="231F20"/>
          <w:spacing w:val="-7"/>
        </w:rPr>
        <w:t> </w:t>
      </w:r>
      <w:r>
        <w:rPr>
          <w:color w:val="231F20"/>
        </w:rPr>
        <w:t>disability.</w:t>
      </w:r>
    </w:p>
    <w:p>
      <w:pPr>
        <w:pStyle w:val="BodyText"/>
        <w:rPr>
          <w:sz w:val="26"/>
        </w:rPr>
      </w:pPr>
    </w:p>
    <w:p>
      <w:pPr>
        <w:pStyle w:val="BodyText"/>
        <w:rPr>
          <w:sz w:val="26"/>
        </w:rPr>
      </w:pPr>
    </w:p>
    <w:p>
      <w:pPr>
        <w:pStyle w:val="Heading1"/>
        <w:spacing w:before="216"/>
        <w:ind w:left="1440"/>
      </w:pPr>
      <w:bookmarkStart w:name="_TOC_250005" w:id="12"/>
      <w:bookmarkEnd w:id="12"/>
      <w:r>
        <w:rPr>
          <w:color w:val="231F20"/>
        </w:rPr>
        <w:t>Self Advocacy WA (SAWA)</w:t>
      </w:r>
    </w:p>
    <w:p>
      <w:pPr>
        <w:pStyle w:val="BodyText"/>
        <w:spacing w:line="276" w:lineRule="auto" w:before="93"/>
        <w:ind w:left="1440" w:right="1576"/>
        <w:jc w:val="both"/>
      </w:pPr>
      <w:r>
        <w:rPr>
          <w:color w:val="231F20"/>
        </w:rPr>
        <w:t>SAWA continue to meet monthly in order to share information, experiences, discuss current disability issues and learn new skills. All members participate in the meetings and each person’s input is respected. Membership has increased this year. Over the past year SAWA members have invited several guest speakers to work on enhancing their skills and discuss opportunities in the community. They had two public speaking workshops, a CPR training day and Curtin University representatives talked about their Pedestrian Safety in Share Traffic Zones Project which some SAWA members decided to participate in. SAWA has also taken part in the Disability Support Organisation Capacity Building Project from</w:t>
      </w:r>
      <w:r>
        <w:rPr>
          <w:color w:val="231F20"/>
          <w:spacing w:val="-5"/>
        </w:rPr>
        <w:t> </w:t>
      </w:r>
      <w:r>
        <w:rPr>
          <w:color w:val="231F20"/>
        </w:rPr>
        <w:t>NDIS.</w:t>
      </w:r>
    </w:p>
    <w:p>
      <w:pPr>
        <w:pStyle w:val="BodyText"/>
        <w:spacing w:line="276" w:lineRule="auto" w:before="201"/>
        <w:ind w:left="1440" w:right="1576"/>
        <w:jc w:val="both"/>
      </w:pPr>
      <w:r>
        <w:rPr>
          <w:color w:val="231F20"/>
        </w:rPr>
        <w:t>SAWA still have their information shared on the PWdWA website. Members decided on the information they wanted included on the website. To view this information, please go to: </w:t>
      </w:r>
      <w:hyperlink r:id="rId43">
        <w:r>
          <w:rPr>
            <w:color w:val="0562C1"/>
            <w:u w:val="single" w:color="0562C1"/>
          </w:rPr>
          <w:t>www.pwdwa.org</w:t>
        </w:r>
        <w:r>
          <w:rPr>
            <w:color w:val="0562C1"/>
          </w:rPr>
          <w:t> </w:t>
        </w:r>
      </w:hyperlink>
      <w:r>
        <w:rPr>
          <w:color w:val="231F20"/>
        </w:rPr>
        <w:t>. Finally, SAWA continue to meet for their annual breakfast in July and December. SAWA is funded by the Disability Services Commission.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ind w:left="2186"/>
      </w:pPr>
      <w:r>
        <w:rPr>
          <w:color w:val="44536A"/>
        </w:rPr>
        <w:t>Annual Report 2014 – 2015</w:t>
      </w:r>
    </w:p>
    <w:p>
      <w:pPr>
        <w:pStyle w:val="BodyText"/>
        <w:spacing w:before="27"/>
        <w:ind w:right="1573"/>
        <w:jc w:val="right"/>
      </w:pPr>
      <w:r>
        <w:rPr>
          <w:color w:val="44536A"/>
        </w:rPr>
        <w:t>Page 20</w:t>
      </w:r>
    </w:p>
    <w:p>
      <w:pPr>
        <w:spacing w:after="0"/>
        <w:jc w:val="right"/>
        <w:sectPr>
          <w:headerReference w:type="default" r:id="rId41"/>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jc w:val="both"/>
      </w:pPr>
      <w:bookmarkStart w:name="_TOC_250004" w:id="13"/>
      <w:bookmarkEnd w:id="13"/>
      <w:r>
        <w:rPr>
          <w:color w:val="231F20"/>
        </w:rPr>
        <w:t>Projects</w:t>
      </w:r>
    </w:p>
    <w:p>
      <w:pPr>
        <w:pStyle w:val="BodyText"/>
        <w:spacing w:before="4"/>
        <w:rPr>
          <w:b/>
          <w:sz w:val="25"/>
        </w:rPr>
      </w:pPr>
    </w:p>
    <w:p>
      <w:pPr>
        <w:pStyle w:val="Heading4"/>
        <w:spacing w:line="278" w:lineRule="auto" w:before="1"/>
        <w:ind w:right="1267" w:hanging="1"/>
      </w:pPr>
      <w:r>
        <w:rPr/>
        <w:drawing>
          <wp:anchor distT="0" distB="0" distL="0" distR="0" allowOverlap="1" layoutInCell="1" locked="0" behindDoc="1" simplePos="0" relativeHeight="268351727">
            <wp:simplePos x="0" y="0"/>
            <wp:positionH relativeFrom="page">
              <wp:posOffset>4901184</wp:posOffset>
            </wp:positionH>
            <wp:positionV relativeFrom="paragraph">
              <wp:posOffset>257630</wp:posOffset>
            </wp:positionV>
            <wp:extent cx="2417064" cy="5504687"/>
            <wp:effectExtent l="0" t="0" r="0" b="0"/>
            <wp:wrapNone/>
            <wp:docPr id="21" name="image22.jpeg" descr=""/>
            <wp:cNvGraphicFramePr>
              <a:graphicFrameLocks noChangeAspect="1"/>
            </wp:cNvGraphicFramePr>
            <a:graphic>
              <a:graphicData uri="http://schemas.openxmlformats.org/drawingml/2006/picture">
                <pic:pic>
                  <pic:nvPicPr>
                    <pic:cNvPr id="22" name="image22.jpeg"/>
                    <pic:cNvPicPr/>
                  </pic:nvPicPr>
                  <pic:blipFill>
                    <a:blip r:embed="rId45" cstate="print"/>
                    <a:stretch>
                      <a:fillRect/>
                    </a:stretch>
                  </pic:blipFill>
                  <pic:spPr>
                    <a:xfrm>
                      <a:off x="0" y="0"/>
                      <a:ext cx="2417064" cy="5504687"/>
                    </a:xfrm>
                    <a:prstGeom prst="rect">
                      <a:avLst/>
                    </a:prstGeom>
                  </pic:spPr>
                </pic:pic>
              </a:graphicData>
            </a:graphic>
          </wp:anchor>
        </w:drawing>
      </w:r>
      <w:r>
        <w:rPr>
          <w:i/>
          <w:color w:val="231F20"/>
        </w:rPr>
        <w:t>Releasing our Capacity – National Disability Insurance Agency Disability </w:t>
      </w:r>
      <w:r>
        <w:rPr>
          <w:color w:val="231F20"/>
        </w:rPr>
        <w:t>Support Organisation Project</w:t>
      </w:r>
    </w:p>
    <w:p>
      <w:pPr>
        <w:pStyle w:val="BodyText"/>
        <w:spacing w:line="276" w:lineRule="auto" w:before="74"/>
        <w:ind w:left="1800" w:right="4256"/>
        <w:jc w:val="both"/>
      </w:pPr>
      <w:r>
        <w:rPr>
          <w:color w:val="231F20"/>
        </w:rPr>
        <w:t>In late 2014, People With disabilities WA were successful in receiving funding from the National Disability Insurance Agency to act as a Disability Support Organisation (non provider). PWdWA is currently working with people with disability to support 20 local support (peer support) groups to make the most of the opportunities presented by the NDIS and engage effectively with the scheme.</w:t>
      </w:r>
    </w:p>
    <w:p>
      <w:pPr>
        <w:pStyle w:val="BodyText"/>
        <w:spacing w:line="276" w:lineRule="auto" w:before="201"/>
        <w:ind w:left="1800" w:right="4256"/>
        <w:jc w:val="both"/>
      </w:pPr>
      <w:r>
        <w:rPr>
          <w:color w:val="231F20"/>
        </w:rPr>
        <w:t>The support groups will provide information, resources and build community networks between participants and with others. The project is funded for two years and in the first year PWdWA will fund 10 peer support groups run for and by people with disability to carry out this work. In November, a 'showcase' event will be held where the first groups profile some of their</w:t>
      </w:r>
      <w:r>
        <w:rPr>
          <w:color w:val="231F20"/>
          <w:spacing w:val="-6"/>
        </w:rPr>
        <w:t> </w:t>
      </w:r>
      <w:r>
        <w:rPr>
          <w:color w:val="231F20"/>
        </w:rPr>
        <w:t>activities.</w:t>
      </w:r>
    </w:p>
    <w:p>
      <w:pPr>
        <w:pStyle w:val="BodyText"/>
        <w:spacing w:line="276" w:lineRule="auto" w:before="201"/>
        <w:ind w:left="1800" w:right="4257"/>
        <w:jc w:val="both"/>
      </w:pPr>
      <w:r>
        <w:rPr>
          <w:color w:val="231F20"/>
        </w:rPr>
        <w:t>Consumers of Mental Health </w:t>
      </w:r>
      <w:r>
        <w:rPr>
          <w:color w:val="231F20"/>
          <w:spacing w:val="2"/>
        </w:rPr>
        <w:t>WA </w:t>
      </w:r>
      <w:r>
        <w:rPr>
          <w:color w:val="231F20"/>
        </w:rPr>
        <w:t>(CoMHWA) is partnering with PWdWA to fund four groups for consumers with psychosocial disability. The two other organisations funded in </w:t>
      </w:r>
      <w:r>
        <w:rPr>
          <w:color w:val="231F20"/>
          <w:spacing w:val="2"/>
        </w:rPr>
        <w:t>WA </w:t>
      </w:r>
      <w:r>
        <w:rPr>
          <w:color w:val="231F20"/>
        </w:rPr>
        <w:t>to support peer support groups are Down Syndrome </w:t>
      </w:r>
      <w:r>
        <w:rPr>
          <w:color w:val="231F20"/>
          <w:spacing w:val="1"/>
        </w:rPr>
        <w:t>WA </w:t>
      </w:r>
      <w:r>
        <w:rPr>
          <w:color w:val="231F20"/>
        </w:rPr>
        <w:t>and Developmental Disability WA. </w:t>
      </w:r>
      <w:r>
        <w:rPr>
          <w:color w:val="231F20"/>
          <w:spacing w:val="2"/>
        </w:rPr>
        <w:t>We </w:t>
      </w:r>
      <w:r>
        <w:rPr>
          <w:color w:val="231F20"/>
        </w:rPr>
        <w:t>are working closely with both groups to ensure family members have access to peer support groups while our focus is on groups by and for people with</w:t>
      </w:r>
      <w:r>
        <w:rPr>
          <w:color w:val="231F20"/>
          <w:spacing w:val="-18"/>
        </w:rPr>
        <w:t> </w:t>
      </w:r>
      <w:r>
        <w:rPr>
          <w:color w:val="231F20"/>
        </w:rPr>
        <w:t>disability.</w:t>
      </w:r>
    </w:p>
    <w:p>
      <w:pPr>
        <w:pStyle w:val="BodyText"/>
        <w:spacing w:line="276" w:lineRule="auto" w:before="200"/>
        <w:ind w:left="1800" w:right="1217"/>
        <w:jc w:val="both"/>
      </w:pPr>
      <w:r>
        <w:rPr>
          <w:color w:val="231F20"/>
        </w:rPr>
        <w:t>As part of the project, a website – </w:t>
      </w:r>
      <w:hyperlink r:id="rId46">
        <w:r>
          <w:rPr>
            <w:color w:val="231F20"/>
          </w:rPr>
          <w:t>www.releasingourcapacity.com</w:t>
        </w:r>
      </w:hyperlink>
      <w:r>
        <w:rPr>
          <w:color w:val="231F20"/>
        </w:rPr>
        <w:t> - was developed as an information channel for people with disability living in WA. Events and information are being disseminated through the website and a series of dedicated Facebook groups. The groups who are being supported in the first year are: First Peoples' Disability Advocacy Network WA, Youth Disability Advocacy Network, Blind Citizens' WA, Self Advocacy and Peer Support WA, Amputees WA, Spinal Injuries Chatter, Women with Disabilities WA, Self Advocacy </w:t>
      </w:r>
      <w:r>
        <w:rPr>
          <w:color w:val="231F20"/>
          <w:spacing w:val="2"/>
        </w:rPr>
        <w:t>WA </w:t>
      </w:r>
      <w:r>
        <w:rPr>
          <w:color w:val="231F20"/>
        </w:rPr>
        <w:t>and an online group for people with disability who also identify as LGBTIQ. Four Community Hub Leaders have been employed within the project to identify and connect participants - they are Douglas Milne, Zel Iscel, Jo Russell and Eamon Guilfoile. As part of building resources and sustainability into the future for the groups we have an MOU with Connect Groups to share</w:t>
      </w:r>
      <w:r>
        <w:rPr>
          <w:color w:val="231F20"/>
          <w:spacing w:val="-27"/>
        </w:rPr>
        <w:t> </w:t>
      </w:r>
      <w:r>
        <w:rPr>
          <w:color w:val="231F20"/>
        </w:rPr>
        <w:t>resources.</w:t>
      </w:r>
    </w:p>
    <w:p>
      <w:pPr>
        <w:pStyle w:val="BodyText"/>
        <w:spacing w:before="5"/>
        <w:rPr>
          <w:sz w:val="12"/>
        </w:rPr>
      </w:pPr>
    </w:p>
    <w:p>
      <w:pPr>
        <w:pStyle w:val="BodyText"/>
        <w:spacing w:before="93"/>
        <w:ind w:left="2546"/>
      </w:pPr>
      <w:r>
        <w:rPr>
          <w:color w:val="44536A"/>
        </w:rPr>
        <w:t>Annual Report 2014 – 2015</w:t>
      </w:r>
    </w:p>
    <w:p>
      <w:pPr>
        <w:pStyle w:val="BodyText"/>
        <w:spacing w:before="26"/>
        <w:ind w:right="1213"/>
        <w:jc w:val="right"/>
      </w:pPr>
      <w:r>
        <w:rPr>
          <w:color w:val="44536A"/>
        </w:rPr>
        <w:t>Page 21</w:t>
      </w:r>
    </w:p>
    <w:p>
      <w:pPr>
        <w:spacing w:after="0"/>
        <w:jc w:val="right"/>
        <w:sectPr>
          <w:headerReference w:type="default" r:id="rId44"/>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440" w:right="1586"/>
        <w:jc w:val="both"/>
      </w:pPr>
      <w:r>
        <w:rPr>
          <w:color w:val="231F20"/>
        </w:rPr>
        <w:t>Thank you to Samantha Connor, our project officer, and Danielle Lobo at CoMHWA for their hard work on this project.</w:t>
      </w:r>
    </w:p>
    <w:p>
      <w:pPr>
        <w:pStyle w:val="BodyText"/>
        <w:spacing w:before="1"/>
        <w:rPr>
          <w:sz w:val="21"/>
        </w:rPr>
      </w:pPr>
    </w:p>
    <w:p>
      <w:pPr>
        <w:pStyle w:val="Heading4"/>
        <w:ind w:left="1440"/>
        <w:jc w:val="left"/>
        <w:rPr>
          <w:i/>
        </w:rPr>
      </w:pPr>
      <w:r>
        <w:rPr>
          <w:i/>
          <w:color w:val="231F20"/>
        </w:rPr>
        <w:t>Family Leadership Project</w:t>
      </w:r>
    </w:p>
    <w:p>
      <w:pPr>
        <w:pStyle w:val="BodyText"/>
        <w:spacing w:line="276" w:lineRule="auto" w:before="120"/>
        <w:ind w:left="1440" w:right="1578"/>
        <w:jc w:val="both"/>
      </w:pPr>
      <w:r>
        <w:rPr>
          <w:color w:val="231F20"/>
        </w:rPr>
        <w:t>In 2014, Diverse Leadership Inc (DLI) received a grant through DDWA under the DSC Family Leadership Funding round. People with Disability WA (PWdWA) auspiced the grant for DLI, and E-QUAL took on management of the project. The aim of the project was to develop a group of presenters, with lived experience of disability, and seek opportunities for the speakers to present their stories to parents of young adults with disability. Five speakers were selected who underwent training in public speaking skills. Nine speaking sessions were organised with speakers presenting in total to over 160 families and staff. Feedback from the project showed it was very successful. Thanks to Diverse Leadership Inc and E-QUAL for running a successful project.</w:t>
      </w:r>
    </w:p>
    <w:p>
      <w:pPr>
        <w:pStyle w:val="BodyText"/>
        <w:spacing w:before="9"/>
        <w:rPr>
          <w:sz w:val="20"/>
        </w:rPr>
      </w:pPr>
    </w:p>
    <w:p>
      <w:pPr>
        <w:pStyle w:val="Heading4"/>
        <w:spacing w:line="278" w:lineRule="auto"/>
        <w:ind w:left="1440" w:right="1992"/>
        <w:jc w:val="left"/>
      </w:pPr>
      <w:r>
        <w:rPr>
          <w:i/>
          <w:color w:val="231F20"/>
        </w:rPr>
        <w:t>Australian Housing Urban Research Institute Project - Accommodating </w:t>
      </w:r>
      <w:r>
        <w:rPr>
          <w:color w:val="231F20"/>
        </w:rPr>
        <w:t>NDIS: maximising housing choice in a reformed disability sector</w:t>
      </w:r>
    </w:p>
    <w:p>
      <w:pPr>
        <w:pStyle w:val="BodyText"/>
        <w:spacing w:line="276" w:lineRule="auto" w:before="75"/>
        <w:ind w:left="1440" w:right="1575"/>
        <w:jc w:val="both"/>
      </w:pPr>
      <w:r>
        <w:rPr>
          <w:color w:val="231F20"/>
        </w:rPr>
        <w:t>PWdWA was approached in 2013 to be a partner organisation with People With Disability Australia, the University of New South Wales and RMIT in an application to the Australian Housing Urban Research Institute (AHURI) to do research on housing and successful community living options foe people with individualised funding. The application was successful and in 2014 PWdWA engaged Samantha Jenkinson to do the </w:t>
      </w:r>
      <w:r>
        <w:rPr>
          <w:color w:val="231F20"/>
          <w:spacing w:val="1"/>
        </w:rPr>
        <w:t>WA </w:t>
      </w:r>
      <w:r>
        <w:rPr>
          <w:color w:val="231F20"/>
        </w:rPr>
        <w:t>research and participate in the project on behalf of PWdWA. In the project the researchers analysed ABS data and interviewed staff of disability and housing agencies. They also interviewed people with disabilities—most with individualised funding packages—who moved, or planned to live more independently in the community. Interviews were conducted in New South Wales, Victoria and Western Australia, with PWdWA doing all of the </w:t>
      </w:r>
      <w:r>
        <w:rPr>
          <w:color w:val="231F20"/>
          <w:spacing w:val="1"/>
        </w:rPr>
        <w:t>WA</w:t>
      </w:r>
      <w:r>
        <w:rPr>
          <w:color w:val="231F20"/>
          <w:spacing w:val="-11"/>
        </w:rPr>
        <w:t> </w:t>
      </w:r>
      <w:r>
        <w:rPr>
          <w:color w:val="231F20"/>
        </w:rPr>
        <w:t>interviews.</w:t>
      </w:r>
    </w:p>
    <w:p>
      <w:pPr>
        <w:pStyle w:val="BodyText"/>
        <w:spacing w:line="276" w:lineRule="auto" w:before="200"/>
        <w:ind w:left="1440" w:right="1578"/>
        <w:jc w:val="both"/>
      </w:pPr>
      <w:r>
        <w:rPr>
          <w:color w:val="231F20"/>
        </w:rPr>
        <w:t>The study highlights the benefits of choice and flexibility in funding, but also recognises that strategies in the NDIS will also need to integrate sufficient advocacy, information and tenancy management assistance to prepare and support people into new living arrangements. Separate program funding to build capacity in formal and informal support networks will also be required. The report was published in August 2015 and is available here </w:t>
      </w:r>
      <w:hyperlink r:id="rId48">
        <w:r>
          <w:rPr>
            <w:color w:val="0562C1"/>
            <w:u w:val="single" w:color="0562C1"/>
          </w:rPr>
          <w:t>http://www.ahuri.edu.au/publications/projects/p71040</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BodyText"/>
        <w:spacing w:before="92"/>
        <w:ind w:left="2186"/>
      </w:pPr>
      <w:r>
        <w:rPr>
          <w:color w:val="44536A"/>
        </w:rPr>
        <w:t>Annual Report 2014 – 2015</w:t>
      </w:r>
    </w:p>
    <w:p>
      <w:pPr>
        <w:pStyle w:val="BodyText"/>
        <w:spacing w:before="26"/>
        <w:ind w:right="1573"/>
        <w:jc w:val="right"/>
      </w:pPr>
      <w:r>
        <w:rPr>
          <w:color w:val="44536A"/>
        </w:rPr>
        <w:t>Page 22</w:t>
      </w:r>
    </w:p>
    <w:p>
      <w:pPr>
        <w:spacing w:after="0"/>
        <w:jc w:val="right"/>
        <w:sectPr>
          <w:headerReference w:type="default" r:id="rId47"/>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pPr>
      <w:bookmarkStart w:name="_TOC_250003" w:id="14"/>
      <w:bookmarkEnd w:id="14"/>
      <w:r>
        <w:rPr>
          <w:color w:val="231F20"/>
        </w:rPr>
        <w:t>Systemic advocacy</w:t>
      </w:r>
    </w:p>
    <w:p>
      <w:pPr>
        <w:pStyle w:val="Heading4"/>
        <w:spacing w:line="276" w:lineRule="auto" w:before="93"/>
        <w:ind w:right="1220"/>
      </w:pPr>
      <w:r>
        <w:rPr>
          <w:i/>
          <w:color w:val="231F20"/>
        </w:rPr>
        <w:t>Our project staff include Faye Hicks and Stuart Jenkinson who have </w:t>
      </w:r>
      <w:r>
        <w:rPr>
          <w:color w:val="231F20"/>
        </w:rPr>
        <w:t>focused on systemic advocacy issues.</w:t>
      </w:r>
    </w:p>
    <w:p>
      <w:pPr>
        <w:pStyle w:val="BodyText"/>
        <w:spacing w:before="11"/>
        <w:rPr>
          <w:b/>
          <w:i/>
          <w:sz w:val="20"/>
        </w:rPr>
      </w:pPr>
    </w:p>
    <w:p>
      <w:pPr>
        <w:pStyle w:val="Heading4"/>
        <w:jc w:val="left"/>
        <w:rPr>
          <w:i/>
        </w:rPr>
      </w:pPr>
      <w:r>
        <w:rPr>
          <w:i/>
          <w:color w:val="231F20"/>
        </w:rPr>
        <w:t>Transport and Taxis</w:t>
      </w:r>
    </w:p>
    <w:p>
      <w:pPr>
        <w:pStyle w:val="BodyText"/>
        <w:spacing w:line="276" w:lineRule="auto" w:before="120"/>
        <w:ind w:left="1800" w:right="1216"/>
        <w:jc w:val="both"/>
      </w:pPr>
      <w:r>
        <w:rPr>
          <w:color w:val="231F20"/>
        </w:rPr>
        <w:t>In August 2014 PWdWA supported the Self Advocacy and Peer Support group (SAPS) to hold a forum titled “Taking Back Transport”. The forum was an opportunity for people with a disability to share their experiences and challenges in using transport services in Western Australia. Attendees also had the opportunity to understand their rights and responsibilities as a service user and how to make a complaint about a transport service. In the lead up to the forum a survey was designed by members of the Self Advocacy and Peer Support Group with the aim of identifying areas of concern relating to public transport in Western Australia for people living with disabilities. Survey respondents identified issues relating to buses, trains, taxis, ferries and planes as areas of concern. The results of the survey along with issues raised at the forum formed the basis of a report produced by members of the Self Advocacy and Peer Support Group. PWdWA presented the findings of the report at a meeting with representatives of the Department of Transport and discussions are ongoing about addressing the concerns of people with a disability. Thank you to the SAPS members in particular Lisa Burnette, Jordan Steele-John and Monica</w:t>
      </w:r>
      <w:r>
        <w:rPr>
          <w:color w:val="231F20"/>
          <w:spacing w:val="-12"/>
        </w:rPr>
        <w:t> </w:t>
      </w:r>
      <w:r>
        <w:rPr>
          <w:color w:val="231F20"/>
        </w:rPr>
        <w:t>McGhie.</w:t>
      </w:r>
    </w:p>
    <w:p>
      <w:pPr>
        <w:pStyle w:val="BodyText"/>
        <w:spacing w:line="276" w:lineRule="auto" w:before="200"/>
        <w:ind w:left="1800" w:right="1214"/>
        <w:jc w:val="both"/>
      </w:pPr>
      <w:r>
        <w:rPr>
          <w:color w:val="231F20"/>
        </w:rPr>
        <w:t>There have been ongoing issues for people with disability accessing trains and train stations across Perth. The two main reasons are lifts and escalators being out of service due to mechanical breakdown as well as upgrading the infrastructure. The impact of being unable to access trains and stations on people with a disability is significant and PWdWA has sought to address these issues through direct representation to the Public Transport Authority, voicing our concerns to members of Parliament as well engaging mainstream media to highlight the problem to the broader population. Effective use of social media has also allowed PWdWA to inform people with disability of the issues and gain feedback on the impact these outages have on people’s ability to go about their daily lives. As part of our submission to the Review of the Access to Premises Standards PWdWA strongly advocated for access to public transport facilities to be enhanced by having multiple lifts that run independently, independent ramp access that’s adheres to the Access Standards as well as escalators.</w:t>
      </w:r>
    </w:p>
    <w:p>
      <w:pPr>
        <w:pStyle w:val="BodyText"/>
        <w:spacing w:line="276" w:lineRule="auto" w:before="202"/>
        <w:ind w:left="1800" w:right="1216"/>
        <w:jc w:val="both"/>
      </w:pPr>
      <w:r>
        <w:rPr>
          <w:color w:val="231F20"/>
        </w:rPr>
        <w:t>The Public Transport Authority has ceased or altered some suburban bus routes which has negatively impacted on people with disabilities ability to safely access the community. PWdWA has raised these issues directly with the Public Transport Authority as well as contacting Members of Parliament who have in turn asked questions in Parliament of the Minister for Transport. PWdWA continues to monitor the impact of bus route changes on people with disability and their ability to interact independently with their local</w:t>
      </w:r>
      <w:r>
        <w:rPr>
          <w:color w:val="231F20"/>
          <w:spacing w:val="-24"/>
        </w:rPr>
        <w:t> </w:t>
      </w:r>
      <w:r>
        <w:rPr>
          <w:color w:val="231F20"/>
        </w:rPr>
        <w:t>communities.</w:t>
      </w:r>
    </w:p>
    <w:p>
      <w:pPr>
        <w:pStyle w:val="BodyText"/>
        <w:spacing w:before="78"/>
        <w:ind w:left="2546"/>
      </w:pPr>
      <w:r>
        <w:rPr>
          <w:color w:val="44536A"/>
        </w:rPr>
        <w:t>Annual Report 2014 – 2015</w:t>
      </w:r>
    </w:p>
    <w:p>
      <w:pPr>
        <w:pStyle w:val="BodyText"/>
        <w:spacing w:before="26"/>
        <w:ind w:right="1213"/>
        <w:jc w:val="right"/>
      </w:pPr>
      <w:r>
        <w:rPr>
          <w:color w:val="44536A"/>
        </w:rPr>
        <w:t>Page 23</w:t>
      </w:r>
    </w:p>
    <w:p>
      <w:pPr>
        <w:spacing w:after="0"/>
        <w:jc w:val="right"/>
        <w:sectPr>
          <w:headerReference w:type="default" r:id="rId49"/>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440" w:right="1572"/>
        <w:jc w:val="both"/>
      </w:pPr>
      <w:r>
        <w:rPr>
          <w:color w:val="231F20"/>
        </w:rPr>
        <w:t>People with disability are often reliant on taxis as their only mode of transport. In particular Multi-Purpose Taxis (MPT’s) are a crucial transport option for many people with a disability. PWdWA regularly hears from people with a disability as well as drivers of MPT’s that the current system of two booking services for MPT’s does not work efficiently. PWdWA was very pleased to see the issue of a “single desk” ‘MPT booking system highlighted in the recently released “On- demand Transport - A discussion paper for future</w:t>
      </w:r>
      <w:r>
        <w:rPr>
          <w:color w:val="231F20"/>
          <w:spacing w:val="-16"/>
        </w:rPr>
        <w:t> </w:t>
      </w:r>
      <w:r>
        <w:rPr>
          <w:color w:val="231F20"/>
        </w:rPr>
        <w:t>innovation”.</w:t>
      </w:r>
    </w:p>
    <w:p>
      <w:pPr>
        <w:pStyle w:val="BodyText"/>
        <w:rPr>
          <w:sz w:val="21"/>
        </w:rPr>
      </w:pPr>
    </w:p>
    <w:p>
      <w:pPr>
        <w:pStyle w:val="Heading4"/>
        <w:ind w:left="1440"/>
        <w:jc w:val="left"/>
        <w:rPr>
          <w:i/>
        </w:rPr>
      </w:pPr>
      <w:r>
        <w:rPr>
          <w:i/>
          <w:color w:val="231F20"/>
        </w:rPr>
        <w:t>Abuse and neglect</w:t>
      </w:r>
    </w:p>
    <w:p>
      <w:pPr>
        <w:pStyle w:val="BodyText"/>
        <w:spacing w:line="276" w:lineRule="auto" w:before="120"/>
        <w:ind w:left="1440" w:right="1576"/>
        <w:jc w:val="both"/>
      </w:pPr>
      <w:r>
        <w:rPr>
          <w:color w:val="231F20"/>
        </w:rPr>
        <w:t>In early 2015, PWdWA partnered with Developmental Disability </w:t>
      </w:r>
      <w:r>
        <w:rPr>
          <w:color w:val="231F20"/>
          <w:spacing w:val="2"/>
        </w:rPr>
        <w:t>WA </w:t>
      </w:r>
      <w:r>
        <w:rPr>
          <w:color w:val="231F20"/>
        </w:rPr>
        <w:t>to carry out a systemic advocacy project around violence, abuse and neglect against people with disability. The project ran over 25 weeks, employed three people with disability and interviewed fifty one participants to find out what happened when people with disability in </w:t>
      </w:r>
      <w:r>
        <w:rPr>
          <w:color w:val="231F20"/>
          <w:spacing w:val="2"/>
        </w:rPr>
        <w:t>WA </w:t>
      </w:r>
      <w:r>
        <w:rPr>
          <w:color w:val="231F20"/>
        </w:rPr>
        <w:t>are abused or neglected. Engaging with a wide range of stakeholders, including the Disability Services Commission, National Disability Services (NDS) and the Health and Disability Services Complaints Office (HaDSCo), the final report 'Behind Closed Doors' directly informed a number of responses to abuse, including the Senate Inquiry into violence, abuse and neglect against people with disability in institutionalised settings, the serious incident reporting scheme in </w:t>
      </w:r>
      <w:r>
        <w:rPr>
          <w:color w:val="231F20"/>
          <w:spacing w:val="1"/>
        </w:rPr>
        <w:t>WA </w:t>
      </w:r>
      <w:r>
        <w:rPr>
          <w:color w:val="231F20"/>
        </w:rPr>
        <w:t>and the Safer Services collaboration between NDS and Curtin</w:t>
      </w:r>
      <w:r>
        <w:rPr>
          <w:color w:val="231F20"/>
          <w:spacing w:val="-1"/>
        </w:rPr>
        <w:t> </w:t>
      </w:r>
      <w:r>
        <w:rPr>
          <w:color w:val="231F20"/>
        </w:rPr>
        <w:t>University.</w:t>
      </w:r>
    </w:p>
    <w:p>
      <w:pPr>
        <w:pStyle w:val="BodyText"/>
        <w:spacing w:line="276" w:lineRule="auto" w:before="200"/>
        <w:ind w:left="1440" w:right="1579"/>
        <w:jc w:val="both"/>
      </w:pPr>
      <w:r>
        <w:rPr>
          <w:color w:val="231F20"/>
        </w:rPr>
        <w:t>As a part of the project PWdWA developed resources on identifying and raising awareness of abuse and neglect that were sent to all funded service providers as part of ‘Disability Safe Week”.</w:t>
      </w:r>
    </w:p>
    <w:p>
      <w:pPr>
        <w:pStyle w:val="BodyText"/>
        <w:spacing w:before="7"/>
        <w:rPr>
          <w:sz w:val="21"/>
        </w:rPr>
      </w:pPr>
      <w:r>
        <w:rPr/>
        <w:drawing>
          <wp:anchor distT="0" distB="0" distL="0" distR="0" allowOverlap="1" layoutInCell="1" locked="0" behindDoc="0" simplePos="0" relativeHeight="2512">
            <wp:simplePos x="0" y="0"/>
            <wp:positionH relativeFrom="page">
              <wp:posOffset>986027</wp:posOffset>
            </wp:positionH>
            <wp:positionV relativeFrom="paragraph">
              <wp:posOffset>182757</wp:posOffset>
            </wp:positionV>
            <wp:extent cx="5031909" cy="3611879"/>
            <wp:effectExtent l="0" t="0" r="0" b="0"/>
            <wp:wrapTopAndBottom/>
            <wp:docPr id="23" name="image23.jpeg" descr=""/>
            <wp:cNvGraphicFramePr>
              <a:graphicFrameLocks noChangeAspect="1"/>
            </wp:cNvGraphicFramePr>
            <a:graphic>
              <a:graphicData uri="http://schemas.openxmlformats.org/drawingml/2006/picture">
                <pic:pic>
                  <pic:nvPicPr>
                    <pic:cNvPr id="24" name="image23.jpeg"/>
                    <pic:cNvPicPr/>
                  </pic:nvPicPr>
                  <pic:blipFill>
                    <a:blip r:embed="rId51" cstate="print"/>
                    <a:stretch>
                      <a:fillRect/>
                    </a:stretch>
                  </pic:blipFill>
                  <pic:spPr>
                    <a:xfrm>
                      <a:off x="0" y="0"/>
                      <a:ext cx="5031909" cy="3611879"/>
                    </a:xfrm>
                    <a:prstGeom prst="rect">
                      <a:avLst/>
                    </a:prstGeom>
                  </pic:spPr>
                </pic:pic>
              </a:graphicData>
            </a:graphic>
          </wp:anchor>
        </w:drawing>
      </w:r>
    </w:p>
    <w:p>
      <w:pPr>
        <w:pStyle w:val="BodyText"/>
        <w:spacing w:before="81"/>
        <w:ind w:left="2186"/>
      </w:pPr>
      <w:r>
        <w:rPr>
          <w:color w:val="44536A"/>
        </w:rPr>
        <w:t>Annual Report 2014 – 2015</w:t>
      </w:r>
    </w:p>
    <w:p>
      <w:pPr>
        <w:pStyle w:val="BodyText"/>
        <w:spacing w:before="27"/>
        <w:ind w:right="1573"/>
        <w:jc w:val="right"/>
      </w:pPr>
      <w:r>
        <w:rPr>
          <w:color w:val="44536A"/>
        </w:rPr>
        <w:t>Page 24</w:t>
      </w:r>
    </w:p>
    <w:p>
      <w:pPr>
        <w:spacing w:after="0"/>
        <w:jc w:val="right"/>
        <w:sectPr>
          <w:headerReference w:type="default" r:id="rId50"/>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800" w:right="1216"/>
        <w:jc w:val="both"/>
      </w:pPr>
      <w:r>
        <w:rPr>
          <w:color w:val="231F20"/>
        </w:rPr>
        <w:t>The project was also supported by union United Voice and a number of information sessions and events were held, including a handover of the report to Senator Linda Reynolds and forum with Senator Rachel Siewert and former Disability Discrimination Commissioner Graeme Innes. Upon the release of the report, HaDSCO issued a press release which underlined the importance of this work as a means to open up discussions about safeguarding standards across the disability sector. The final report is available on the PWdWA</w:t>
      </w:r>
      <w:r>
        <w:rPr>
          <w:color w:val="231F20"/>
          <w:spacing w:val="-27"/>
        </w:rPr>
        <w:t> </w:t>
      </w:r>
      <w:r>
        <w:rPr>
          <w:color w:val="231F20"/>
        </w:rPr>
        <w:t>website.</w:t>
      </w:r>
    </w:p>
    <w:p>
      <w:pPr>
        <w:pStyle w:val="BodyText"/>
        <w:spacing w:line="276" w:lineRule="auto" w:before="201"/>
        <w:ind w:left="1800" w:right="1221"/>
        <w:jc w:val="both"/>
      </w:pPr>
      <w:r>
        <w:rPr>
          <w:color w:val="231F20"/>
        </w:rPr>
        <w:t>Thank you to Samantha Connor, Amber Arazi and Ben Keely who were engaged by PWdWA and DDWA to do this project.</w:t>
      </w:r>
    </w:p>
    <w:p>
      <w:pPr>
        <w:pStyle w:val="BodyText"/>
        <w:spacing w:before="8"/>
        <w:rPr>
          <w:sz w:val="18"/>
        </w:rPr>
      </w:pPr>
      <w:r>
        <w:rPr/>
        <w:drawing>
          <wp:anchor distT="0" distB="0" distL="0" distR="0" allowOverlap="1" layoutInCell="1" locked="0" behindDoc="0" simplePos="0" relativeHeight="2560">
            <wp:simplePos x="0" y="0"/>
            <wp:positionH relativeFrom="page">
              <wp:posOffset>1214627</wp:posOffset>
            </wp:positionH>
            <wp:positionV relativeFrom="paragraph">
              <wp:posOffset>161869</wp:posOffset>
            </wp:positionV>
            <wp:extent cx="5144204" cy="3497579"/>
            <wp:effectExtent l="0" t="0" r="0" b="0"/>
            <wp:wrapTopAndBottom/>
            <wp:docPr id="25" name="image24.jpeg" descr=""/>
            <wp:cNvGraphicFramePr>
              <a:graphicFrameLocks noChangeAspect="1"/>
            </wp:cNvGraphicFramePr>
            <a:graphic>
              <a:graphicData uri="http://schemas.openxmlformats.org/drawingml/2006/picture">
                <pic:pic>
                  <pic:nvPicPr>
                    <pic:cNvPr id="26" name="image24.jpeg"/>
                    <pic:cNvPicPr/>
                  </pic:nvPicPr>
                  <pic:blipFill>
                    <a:blip r:embed="rId53" cstate="print"/>
                    <a:stretch>
                      <a:fillRect/>
                    </a:stretch>
                  </pic:blipFill>
                  <pic:spPr>
                    <a:xfrm>
                      <a:off x="0" y="0"/>
                      <a:ext cx="5144204" cy="3497579"/>
                    </a:xfrm>
                    <a:prstGeom prst="rect">
                      <a:avLst/>
                    </a:prstGeom>
                  </pic:spPr>
                </pic:pic>
              </a:graphicData>
            </a:graphic>
          </wp:anchor>
        </w:drawing>
      </w:r>
    </w:p>
    <w:p>
      <w:pPr>
        <w:pStyle w:val="BodyText"/>
        <w:spacing w:line="276" w:lineRule="auto" w:before="35"/>
        <w:ind w:left="2083" w:right="2134"/>
      </w:pPr>
      <w:r>
        <w:rPr>
          <w:color w:val="231F20"/>
        </w:rPr>
        <w:t>Senator Linda Reynolds accepting a copy of ‘Behind Closed Doors’ from Ben Keely and Samantha</w:t>
      </w:r>
      <w:r>
        <w:rPr>
          <w:color w:val="231F20"/>
          <w:spacing w:val="-6"/>
        </w:rPr>
        <w:t> </w:t>
      </w:r>
      <w:r>
        <w:rPr>
          <w:color w:val="231F20"/>
        </w:rPr>
        <w:t>Connor</w:t>
      </w:r>
    </w:p>
    <w:p>
      <w:pPr>
        <w:pStyle w:val="BodyText"/>
        <w:spacing w:before="3"/>
        <w:rPr>
          <w:sz w:val="15"/>
        </w:rPr>
      </w:pPr>
    </w:p>
    <w:p>
      <w:pPr>
        <w:pStyle w:val="Heading4"/>
        <w:spacing w:before="92"/>
        <w:jc w:val="left"/>
        <w:rPr>
          <w:i/>
        </w:rPr>
      </w:pPr>
      <w:r>
        <w:rPr>
          <w:i/>
          <w:color w:val="231F20"/>
        </w:rPr>
        <w:t>Housing</w:t>
      </w:r>
    </w:p>
    <w:p>
      <w:pPr>
        <w:pStyle w:val="BodyText"/>
        <w:spacing w:line="276" w:lineRule="auto" w:before="123"/>
        <w:ind w:left="1800" w:right="1216"/>
        <w:jc w:val="both"/>
      </w:pPr>
      <w:r>
        <w:rPr>
          <w:color w:val="231F20"/>
        </w:rPr>
        <w:t>PWdWA has been part of the Housing Advisory Round Table (HART) for a considerable period of time and has used this forum to raise housing issues affecting people with disability with both the Department of Housing, the Community Housing sector and other key stakeholders. A functional review of HART was instigated by the Department of Housing earlier this year and meetings have been postponed until the outcome of the review is known. PWdWA contributed to the review and strongly advocated for the continuation of the HART or a similar forum. It is disappointing that the review is not yet complete and the future of HART remains</w:t>
      </w:r>
      <w:r>
        <w:rPr>
          <w:color w:val="231F20"/>
          <w:spacing w:val="-8"/>
        </w:rPr>
        <w:t> </w:t>
      </w:r>
      <w:r>
        <w:rPr>
          <w:color w:val="231F20"/>
        </w:rPr>
        <w:t>unknown.</w:t>
      </w:r>
    </w:p>
    <w:p>
      <w:pPr>
        <w:pStyle w:val="BodyText"/>
        <w:spacing w:line="276" w:lineRule="auto" w:before="199"/>
        <w:ind w:left="1800" w:right="1223"/>
        <w:jc w:val="both"/>
      </w:pPr>
      <w:r>
        <w:rPr>
          <w:color w:val="231F20"/>
        </w:rPr>
        <w:t>In the latter part of 2015 PWdWA will be commencing a project to review the existing research and publications about the housing issues affecting people with</w:t>
      </w:r>
    </w:p>
    <w:p>
      <w:pPr>
        <w:pStyle w:val="BodyText"/>
        <w:spacing w:before="30"/>
        <w:ind w:left="2546"/>
      </w:pPr>
      <w:r>
        <w:rPr>
          <w:color w:val="44536A"/>
        </w:rPr>
        <w:t>Annual Report 2014 – 2015</w:t>
      </w:r>
    </w:p>
    <w:p>
      <w:pPr>
        <w:pStyle w:val="BodyText"/>
        <w:spacing w:before="26"/>
        <w:ind w:right="1213"/>
        <w:jc w:val="right"/>
      </w:pPr>
      <w:r>
        <w:rPr>
          <w:color w:val="44536A"/>
        </w:rPr>
        <w:t>Page 25</w:t>
      </w:r>
    </w:p>
    <w:p>
      <w:pPr>
        <w:spacing w:after="0"/>
        <w:jc w:val="right"/>
        <w:sectPr>
          <w:headerReference w:type="default" r:id="rId52"/>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440" w:right="1579"/>
        <w:jc w:val="both"/>
      </w:pPr>
      <w:r>
        <w:rPr>
          <w:color w:val="231F20"/>
        </w:rPr>
        <w:t>disabilities. The project aims to identify gaps that exist in actions about housing and people with disability with a view to establishing a campaign or campaigns in these areas. The project will be led by PWdWA staff and committee of management with input sought people with disability who have a strong interest in this area as well as relevant</w:t>
      </w:r>
      <w:r>
        <w:rPr>
          <w:color w:val="231F20"/>
          <w:spacing w:val="-7"/>
        </w:rPr>
        <w:t> </w:t>
      </w:r>
      <w:r>
        <w:rPr>
          <w:color w:val="231F20"/>
        </w:rPr>
        <w:t>experiences.</w:t>
      </w:r>
    </w:p>
    <w:p>
      <w:pPr>
        <w:pStyle w:val="BodyText"/>
        <w:spacing w:before="1"/>
        <w:rPr>
          <w:sz w:val="21"/>
        </w:rPr>
      </w:pPr>
    </w:p>
    <w:p>
      <w:pPr>
        <w:pStyle w:val="Heading4"/>
        <w:ind w:left="1440"/>
        <w:rPr>
          <w:i/>
        </w:rPr>
      </w:pPr>
      <w:r>
        <w:rPr>
          <w:i/>
          <w:color w:val="231F20"/>
        </w:rPr>
        <w:t>Education</w:t>
      </w:r>
    </w:p>
    <w:p>
      <w:pPr>
        <w:pStyle w:val="BodyText"/>
        <w:spacing w:line="276" w:lineRule="auto" w:before="120"/>
        <w:ind w:left="1440" w:right="1583"/>
        <w:jc w:val="both"/>
      </w:pPr>
      <w:r>
        <w:rPr>
          <w:color w:val="231F20"/>
        </w:rPr>
        <w:t>PWdWA and DDWA met in June 2015 and discussed current trends of Individual Advocacy education issues in the </w:t>
      </w:r>
      <w:r>
        <w:rPr>
          <w:color w:val="231F20"/>
          <w:spacing w:val="2"/>
        </w:rPr>
        <w:t>WA </w:t>
      </w:r>
      <w:r>
        <w:rPr>
          <w:color w:val="231F20"/>
        </w:rPr>
        <w:t>region. It was discussed that schools in </w:t>
      </w:r>
      <w:r>
        <w:rPr>
          <w:color w:val="231F20"/>
          <w:spacing w:val="1"/>
        </w:rPr>
        <w:t>WA </w:t>
      </w:r>
      <w:r>
        <w:rPr>
          <w:color w:val="231F20"/>
        </w:rPr>
        <w:t>were using restraint or restrictive practices, suspending children with disabilities, and some families were being driven to do home</w:t>
      </w:r>
      <w:r>
        <w:rPr>
          <w:color w:val="231F20"/>
          <w:spacing w:val="-17"/>
        </w:rPr>
        <w:t> </w:t>
      </w:r>
      <w:r>
        <w:rPr>
          <w:color w:val="231F20"/>
        </w:rPr>
        <w:t>schooling.</w:t>
      </w:r>
    </w:p>
    <w:p>
      <w:pPr>
        <w:pStyle w:val="BodyText"/>
        <w:spacing w:line="276" w:lineRule="auto" w:before="200"/>
        <w:ind w:left="1440" w:right="1576"/>
        <w:jc w:val="both"/>
      </w:pPr>
      <w:r>
        <w:rPr>
          <w:color w:val="231F20"/>
        </w:rPr>
        <w:t>Research was conducted and compiled to identify any hot spots and develop a plan of action. The data collected did not show specific ‘hot spots’ rather it highlighted the issues occurring across the broader Metropolitan area. Recommendations from this report included further advertising within education and disability networks regarding Individual advocacy, positive behaviour strategies (PBS), functional behaviour analysis, and person centred planning training for teachers and Education Assistants.</w:t>
      </w:r>
    </w:p>
    <w:p>
      <w:pPr>
        <w:pStyle w:val="BodyText"/>
        <w:spacing w:before="11"/>
        <w:rPr>
          <w:sz w:val="20"/>
        </w:rPr>
      </w:pPr>
    </w:p>
    <w:p>
      <w:pPr>
        <w:pStyle w:val="Heading4"/>
        <w:ind w:left="1440"/>
        <w:rPr>
          <w:i/>
        </w:rPr>
      </w:pPr>
      <w:r>
        <w:rPr>
          <w:i/>
          <w:color w:val="231F20"/>
        </w:rPr>
        <w:t>NDIS</w:t>
      </w:r>
    </w:p>
    <w:p>
      <w:pPr>
        <w:pStyle w:val="BodyText"/>
        <w:spacing w:line="276" w:lineRule="auto" w:before="120"/>
        <w:ind w:left="1440" w:right="1573"/>
        <w:jc w:val="both"/>
      </w:pPr>
      <w:r>
        <w:rPr>
          <w:color w:val="231F20"/>
        </w:rPr>
        <w:t>PWdWA was invited last year to be on the reference group for NDIS May Way and the Advisory group for the NDIS Perth Hills trial site. In these positions PWdWA is a consumer representative organisation bringing the voice of lived experience to the table and feedback to the groups is provided from that perspective. Where possible other advocacy and consumer groups can raise issues to PWdWA who can tell the NDIA and DSC through these groups.</w:t>
      </w:r>
    </w:p>
    <w:p>
      <w:pPr>
        <w:pStyle w:val="BodyText"/>
        <w:spacing w:line="276" w:lineRule="auto" w:before="201"/>
        <w:ind w:left="1440" w:right="1580"/>
        <w:jc w:val="both"/>
      </w:pPr>
      <w:r>
        <w:rPr>
          <w:color w:val="231F20"/>
        </w:rPr>
        <w:t>As PWdWA was providing advocacy for people with disability and families in the NDIS Perth Hills, we thought it important that the NDIA staff were aware of advocacy and the issues that were being raised. Along with EDAC, MIDLAS and other advocacy groups we arranged an advocacy catch up with key NDIS staff to occur on a regular basis. Similar meetings are being arranged with NDIS My Way.</w:t>
      </w:r>
    </w:p>
    <w:p>
      <w:pPr>
        <w:pStyle w:val="BodyText"/>
        <w:spacing w:line="276" w:lineRule="auto" w:before="201"/>
        <w:ind w:left="1440" w:right="1574"/>
        <w:jc w:val="both"/>
      </w:pPr>
      <w:r>
        <w:rPr>
          <w:color w:val="231F20"/>
        </w:rPr>
        <w:t>PWdWA has also been playing a role as an independent consumer representative organisation in discussions on increasing choice of planners in the NDIA Perth Hills trial</w:t>
      </w:r>
      <w:r>
        <w:rPr>
          <w:color w:val="231F20"/>
          <w:spacing w:val="-1"/>
        </w:rPr>
        <w:t> </w:t>
      </w:r>
      <w:r>
        <w:rPr>
          <w:color w:val="231F20"/>
        </w:rPr>
        <w:t>site.</w:t>
      </w:r>
    </w:p>
    <w:p>
      <w:pPr>
        <w:pStyle w:val="BodyText"/>
        <w:spacing w:before="11"/>
        <w:rPr>
          <w:sz w:val="20"/>
        </w:rPr>
      </w:pPr>
    </w:p>
    <w:p>
      <w:pPr>
        <w:pStyle w:val="Heading4"/>
        <w:ind w:left="1440"/>
        <w:rPr>
          <w:i/>
        </w:rPr>
      </w:pPr>
      <w:r>
        <w:rPr>
          <w:i/>
          <w:color w:val="231F20"/>
        </w:rPr>
        <w:t>Service provision and funding issues</w:t>
      </w:r>
    </w:p>
    <w:p>
      <w:pPr>
        <w:pStyle w:val="BodyText"/>
        <w:spacing w:line="276" w:lineRule="auto" w:before="120"/>
        <w:ind w:left="1440" w:right="1573"/>
        <w:jc w:val="both"/>
      </w:pPr>
      <w:r>
        <w:rPr>
          <w:color w:val="231F20"/>
        </w:rPr>
        <w:t>When a number of individuals come across similar issues such as a reduction in funding or change to guidelines on who can provide services, individual advocates raise those issues with the Executive Director who contacts DSC to raise these as policy issues. This year we have had discussion on changes to non-recurrent funding for people with complex behaviour,</w:t>
      </w:r>
      <w:r>
        <w:rPr>
          <w:color w:val="231F20"/>
          <w:spacing w:val="60"/>
        </w:rPr>
        <w:t> </w:t>
      </w:r>
      <w:r>
        <w:rPr>
          <w:color w:val="231F20"/>
        </w:rPr>
        <w:t>sub-contracting</w:t>
      </w:r>
    </w:p>
    <w:p>
      <w:pPr>
        <w:pStyle w:val="BodyText"/>
        <w:spacing w:line="242" w:lineRule="exact"/>
        <w:ind w:left="52" w:right="4425"/>
        <w:jc w:val="center"/>
      </w:pPr>
      <w:r>
        <w:rPr>
          <w:color w:val="44536A"/>
        </w:rPr>
        <w:t>Annual Report 2014 – 2015</w:t>
      </w:r>
    </w:p>
    <w:p>
      <w:pPr>
        <w:pStyle w:val="BodyText"/>
        <w:spacing w:before="26"/>
        <w:ind w:right="1573"/>
        <w:jc w:val="right"/>
      </w:pPr>
      <w:r>
        <w:rPr>
          <w:color w:val="44536A"/>
        </w:rPr>
        <w:t>Page 26</w:t>
      </w:r>
    </w:p>
    <w:p>
      <w:pPr>
        <w:spacing w:after="0"/>
        <w:jc w:val="right"/>
        <w:sectPr>
          <w:headerReference w:type="default" r:id="rId54"/>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1"/>
        <w:rPr>
          <w:sz w:val="28"/>
        </w:rPr>
      </w:pPr>
    </w:p>
    <w:p>
      <w:pPr>
        <w:pStyle w:val="BodyText"/>
        <w:spacing w:line="276" w:lineRule="auto" w:before="92"/>
        <w:ind w:left="1800" w:right="1220"/>
        <w:jc w:val="both"/>
      </w:pPr>
      <w:r>
        <w:rPr>
          <w:color w:val="231F20"/>
        </w:rPr>
        <w:t>arrangements and requirements where a funding application is put in by advocacy organisations. Often these issues are partly resolved through discussion or are flagging a change to policy which we can then potentially provide advice on.</w:t>
      </w:r>
    </w:p>
    <w:p>
      <w:pPr>
        <w:pStyle w:val="BodyText"/>
        <w:spacing w:before="9"/>
        <w:rPr>
          <w:sz w:val="25"/>
        </w:rPr>
      </w:pPr>
    </w:p>
    <w:p>
      <w:pPr>
        <w:pStyle w:val="Heading1"/>
        <w:spacing w:before="1"/>
        <w:jc w:val="both"/>
      </w:pPr>
      <w:bookmarkStart w:name="_TOC_250002" w:id="15"/>
      <w:bookmarkEnd w:id="15"/>
      <w:r>
        <w:rPr>
          <w:color w:val="231F20"/>
        </w:rPr>
        <w:t>Submissions</w:t>
      </w:r>
    </w:p>
    <w:p>
      <w:pPr>
        <w:pStyle w:val="BodyText"/>
        <w:spacing w:line="276" w:lineRule="auto" w:before="92"/>
        <w:ind w:left="1800" w:right="1217"/>
        <w:jc w:val="both"/>
      </w:pPr>
      <w:r>
        <w:rPr>
          <w:color w:val="231F20"/>
        </w:rPr>
        <w:t>As part of PWdWA’s systemic work we provide written submissions on a variety of issues that affect people with disability. All our submissions are based on evidence from people with disability whether it is our clients or members experience. The recommendations we provide in our submissions are based on a wide consultation with people with disability. PWdWA has an extensive network to channel and receive information to ensure that submissions are grounded in ‘real’ experience and consider current and relevant research on the subject matter. Sometimes we collaborate with other consumer driven organisations to develop a combined approach to our submissions. All submissions are available on our</w:t>
      </w:r>
      <w:r>
        <w:rPr>
          <w:color w:val="231F20"/>
          <w:spacing w:val="-1"/>
        </w:rPr>
        <w:t> </w:t>
      </w:r>
      <w:r>
        <w:rPr>
          <w:color w:val="231F20"/>
        </w:rPr>
        <w:t>website.</w:t>
      </w:r>
    </w:p>
    <w:p>
      <w:pPr>
        <w:pStyle w:val="Heading4"/>
        <w:spacing w:before="201"/>
        <w:rPr>
          <w:i/>
        </w:rPr>
      </w:pPr>
      <w:r>
        <w:rPr>
          <w:i/>
          <w:color w:val="231F20"/>
        </w:rPr>
        <w:t>During 2014 – 15 PWdWA provided submissions on:</w:t>
      </w:r>
    </w:p>
    <w:p>
      <w:pPr>
        <w:pStyle w:val="BodyText"/>
        <w:spacing w:before="10"/>
        <w:rPr>
          <w:b/>
          <w:i/>
          <w:sz w:val="20"/>
        </w:rPr>
      </w:pPr>
    </w:p>
    <w:p>
      <w:pPr>
        <w:pStyle w:val="BodyText"/>
        <w:spacing w:line="276" w:lineRule="auto"/>
        <w:ind w:left="1800" w:right="1223"/>
        <w:jc w:val="both"/>
      </w:pPr>
      <w:r>
        <w:rPr>
          <w:color w:val="231F20"/>
        </w:rPr>
        <w:t>Submission on the Review of the Criminal Law Mentally Impaired Accused Act 1996.</w:t>
      </w:r>
    </w:p>
    <w:p>
      <w:pPr>
        <w:pStyle w:val="BodyText"/>
        <w:spacing w:line="276" w:lineRule="auto" w:before="201"/>
        <w:ind w:left="1800" w:right="1213" w:hanging="1"/>
        <w:jc w:val="both"/>
      </w:pPr>
      <w:r>
        <w:rPr>
          <w:color w:val="231F20"/>
        </w:rPr>
        <w:t>Response to State Government Green paper - Options to add No-Fault Catastrophic Injury Cover to Western Australia’s Compulsory Third Party Insurance Scheme.</w:t>
      </w:r>
    </w:p>
    <w:p>
      <w:pPr>
        <w:pStyle w:val="BodyText"/>
        <w:spacing w:line="276" w:lineRule="auto" w:before="200"/>
        <w:ind w:left="1800" w:right="1220"/>
        <w:jc w:val="both"/>
      </w:pPr>
      <w:r>
        <w:rPr>
          <w:color w:val="231F20"/>
        </w:rPr>
        <w:t>Australian Senate Inquiry into the Adequacy of Existing Residential Care Arrangements Available for Young People with Severe Physical, Mental or Intellectual Disability in Australia. Joint submission PWdWA and DDWA</w:t>
      </w:r>
    </w:p>
    <w:p>
      <w:pPr>
        <w:pStyle w:val="BodyText"/>
        <w:spacing w:before="200"/>
        <w:ind w:left="1800"/>
        <w:jc w:val="both"/>
      </w:pPr>
      <w:r>
        <w:rPr>
          <w:color w:val="231F20"/>
        </w:rPr>
        <w:t>Submission on Information, Linkages, and Capacity Building Framework for NDIS</w:t>
      </w:r>
    </w:p>
    <w:p>
      <w:pPr>
        <w:pStyle w:val="BodyText"/>
        <w:spacing w:before="1"/>
        <w:rPr>
          <w:sz w:val="21"/>
        </w:rPr>
      </w:pPr>
    </w:p>
    <w:p>
      <w:pPr>
        <w:pStyle w:val="BodyText"/>
        <w:spacing w:line="276" w:lineRule="auto"/>
        <w:ind w:left="1800" w:right="1220"/>
        <w:jc w:val="both"/>
      </w:pPr>
      <w:r>
        <w:rPr>
          <w:color w:val="231F20"/>
        </w:rPr>
        <w:t>Submission on the Proposal for a National Disability Insurance Scheme (NDIS) Quality and Safeguarding framework</w:t>
      </w:r>
    </w:p>
    <w:p>
      <w:pPr>
        <w:pStyle w:val="BodyText"/>
        <w:spacing w:line="276" w:lineRule="auto" w:before="198"/>
        <w:ind w:left="1800" w:right="1216"/>
        <w:jc w:val="both"/>
      </w:pPr>
      <w:r>
        <w:rPr>
          <w:color w:val="231F20"/>
        </w:rPr>
        <w:t>Australian Senate Inquiry into Abuse and Neglect of people with disability – Report prepared “Behind closed doors - Prevention of violence, abuse and neglect against Western Australians with disabilities” in partnership with</w:t>
      </w:r>
      <w:r>
        <w:rPr>
          <w:color w:val="231F20"/>
          <w:spacing w:val="-34"/>
        </w:rPr>
        <w:t> </w:t>
      </w:r>
      <w:r>
        <w:rPr>
          <w:color w:val="231F20"/>
        </w:rPr>
        <w:t>DDWA.</w:t>
      </w:r>
    </w:p>
    <w:p>
      <w:pPr>
        <w:pStyle w:val="BodyText"/>
        <w:spacing w:line="448" w:lineRule="auto" w:before="203"/>
        <w:ind w:left="1800" w:right="3480"/>
      </w:pPr>
      <w:r>
        <w:rPr>
          <w:color w:val="231F20"/>
        </w:rPr>
        <w:t>Review of the National Disability Advocacy Framework Response to the National Disability Employment Framework</w:t>
      </w:r>
    </w:p>
    <w:p>
      <w:pPr>
        <w:pStyle w:val="BodyText"/>
        <w:spacing w:line="276" w:lineRule="auto" w:before="2"/>
        <w:ind w:left="1800" w:right="1216"/>
        <w:jc w:val="both"/>
      </w:pPr>
      <w:r>
        <w:rPr>
          <w:color w:val="231F20"/>
        </w:rPr>
        <w:t>Review of the Disability (Access to Premises – Building) Standards 2010 Review of the Disability Standards for Education June 2015</w:t>
      </w:r>
    </w:p>
    <w:p>
      <w:pPr>
        <w:pStyle w:val="BodyText"/>
        <w:rPr>
          <w:sz w:val="20"/>
        </w:rPr>
      </w:pPr>
    </w:p>
    <w:p>
      <w:pPr>
        <w:pStyle w:val="BodyText"/>
        <w:rPr>
          <w:sz w:val="20"/>
        </w:rPr>
      </w:pPr>
    </w:p>
    <w:p>
      <w:pPr>
        <w:pStyle w:val="BodyText"/>
        <w:spacing w:before="6"/>
        <w:rPr>
          <w:sz w:val="22"/>
        </w:rPr>
      </w:pPr>
    </w:p>
    <w:p>
      <w:pPr>
        <w:pStyle w:val="BodyText"/>
        <w:ind w:left="2546"/>
      </w:pPr>
      <w:r>
        <w:rPr>
          <w:color w:val="44536A"/>
        </w:rPr>
        <w:t>Annual Report 2014 – 2015</w:t>
      </w:r>
    </w:p>
    <w:p>
      <w:pPr>
        <w:pStyle w:val="BodyText"/>
        <w:spacing w:before="26"/>
        <w:ind w:right="1213"/>
        <w:jc w:val="right"/>
      </w:pPr>
      <w:r>
        <w:rPr>
          <w:color w:val="44536A"/>
        </w:rPr>
        <w:t>Page 27</w:t>
      </w:r>
    </w:p>
    <w:p>
      <w:pPr>
        <w:spacing w:after="0"/>
        <w:jc w:val="right"/>
        <w:sectPr>
          <w:headerReference w:type="default" r:id="rId55"/>
          <w:pgSz w:w="11910" w:h="16840"/>
          <w:pgMar w:header="0" w:footer="524" w:top="960" w:bottom="720" w:left="0" w:right="220"/>
        </w:sectPr>
      </w:pPr>
    </w:p>
    <w:p>
      <w:pPr>
        <w:pStyle w:val="BodyText"/>
        <w:spacing w:before="4"/>
        <w:rPr>
          <w:sz w:val="2"/>
        </w:rPr>
      </w:pPr>
    </w:p>
    <w:p>
      <w:pPr>
        <w:pStyle w:val="BodyText"/>
        <w:spacing w:line="20" w:lineRule="exact"/>
        <w:ind w:left="140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9"/>
        <w:rPr>
          <w:sz w:val="27"/>
        </w:rPr>
      </w:pPr>
    </w:p>
    <w:p>
      <w:pPr>
        <w:pStyle w:val="Heading1"/>
        <w:ind w:left="1440"/>
      </w:pPr>
      <w:bookmarkStart w:name="_TOC_250001" w:id="16"/>
      <w:bookmarkEnd w:id="16"/>
      <w:r>
        <w:rPr>
          <w:color w:val="231F20"/>
        </w:rPr>
        <w:t>Representation and participation</w:t>
      </w:r>
    </w:p>
    <w:p>
      <w:pPr>
        <w:pStyle w:val="Heading4"/>
        <w:spacing w:line="276" w:lineRule="auto" w:before="93"/>
        <w:ind w:left="1440" w:right="1580"/>
      </w:pPr>
      <w:r>
        <w:rPr>
          <w:i/>
          <w:color w:val="231F20"/>
        </w:rPr>
        <w:t>In 2014-15 PWdWA staff and members contributed to committees and </w:t>
      </w:r>
      <w:r>
        <w:rPr>
          <w:color w:val="231F20"/>
        </w:rPr>
        <w:t>reference groups covering a broad range of issues affecting the lives of people with disability.</w:t>
      </w:r>
    </w:p>
    <w:p>
      <w:pPr>
        <w:pStyle w:val="BodyText"/>
        <w:spacing w:before="200"/>
        <w:ind w:left="1440"/>
      </w:pPr>
      <w:r>
        <w:rPr>
          <w:color w:val="231F20"/>
        </w:rPr>
        <w:t>These included;</w:t>
      </w:r>
    </w:p>
    <w:p>
      <w:pPr>
        <w:pStyle w:val="BodyText"/>
        <w:spacing w:before="10"/>
        <w:rPr>
          <w:sz w:val="20"/>
        </w:rPr>
      </w:pPr>
    </w:p>
    <w:p>
      <w:pPr>
        <w:pStyle w:val="ListParagraph"/>
        <w:numPr>
          <w:ilvl w:val="0"/>
          <w:numId w:val="3"/>
        </w:numPr>
        <w:tabs>
          <w:tab w:pos="2160" w:val="left" w:leader="none"/>
          <w:tab w:pos="2161" w:val="left" w:leader="none"/>
        </w:tabs>
        <w:spacing w:line="240" w:lineRule="auto" w:before="0" w:after="0"/>
        <w:ind w:left="2160" w:right="0" w:hanging="360"/>
        <w:jc w:val="left"/>
        <w:rPr>
          <w:sz w:val="24"/>
        </w:rPr>
      </w:pPr>
      <w:r>
        <w:rPr>
          <w:color w:val="231F20"/>
          <w:sz w:val="24"/>
        </w:rPr>
        <w:t>Positive Behaviour Framework Guiding</w:t>
      </w:r>
      <w:r>
        <w:rPr>
          <w:color w:val="231F20"/>
          <w:spacing w:val="-2"/>
          <w:sz w:val="24"/>
        </w:rPr>
        <w:t> </w:t>
      </w:r>
      <w:r>
        <w:rPr>
          <w:color w:val="231F20"/>
          <w:sz w:val="24"/>
        </w:rPr>
        <w:t>Committee</w:t>
      </w:r>
    </w:p>
    <w:p>
      <w:pPr>
        <w:pStyle w:val="ListParagraph"/>
        <w:numPr>
          <w:ilvl w:val="0"/>
          <w:numId w:val="3"/>
        </w:numPr>
        <w:tabs>
          <w:tab w:pos="2160" w:val="left" w:leader="none"/>
          <w:tab w:pos="2161" w:val="left" w:leader="none"/>
        </w:tabs>
        <w:spacing w:line="273" w:lineRule="auto" w:before="40" w:after="0"/>
        <w:ind w:left="2160" w:right="1580" w:hanging="360"/>
        <w:jc w:val="left"/>
        <w:rPr>
          <w:sz w:val="24"/>
        </w:rPr>
      </w:pPr>
      <w:r>
        <w:rPr>
          <w:color w:val="231F20"/>
          <w:sz w:val="24"/>
        </w:rPr>
        <w:t>Zero Tolerance Reference group - Preventing and responding to abuse and neglect of people with disability in non-government</w:t>
      </w:r>
      <w:r>
        <w:rPr>
          <w:color w:val="231F20"/>
          <w:spacing w:val="-17"/>
          <w:sz w:val="24"/>
        </w:rPr>
        <w:t> </w:t>
      </w:r>
      <w:r>
        <w:rPr>
          <w:color w:val="231F20"/>
          <w:sz w:val="24"/>
        </w:rPr>
        <w:t>services</w:t>
      </w:r>
    </w:p>
    <w:p>
      <w:pPr>
        <w:pStyle w:val="ListParagraph"/>
        <w:numPr>
          <w:ilvl w:val="0"/>
          <w:numId w:val="3"/>
        </w:numPr>
        <w:tabs>
          <w:tab w:pos="2160" w:val="left" w:leader="none"/>
          <w:tab w:pos="2161" w:val="left" w:leader="none"/>
        </w:tabs>
        <w:spacing w:line="273" w:lineRule="auto" w:before="1" w:after="0"/>
        <w:ind w:left="2160" w:right="1575" w:hanging="360"/>
        <w:jc w:val="left"/>
        <w:rPr>
          <w:sz w:val="24"/>
        </w:rPr>
      </w:pPr>
      <w:r>
        <w:rPr>
          <w:color w:val="231F20"/>
          <w:sz w:val="24"/>
        </w:rPr>
        <w:t>Disability Justice Centres advice provided – an alternative to prison for those deemed unfit to</w:t>
      </w:r>
      <w:r>
        <w:rPr>
          <w:color w:val="231F20"/>
          <w:spacing w:val="-6"/>
          <w:sz w:val="24"/>
        </w:rPr>
        <w:t> </w:t>
      </w:r>
      <w:r>
        <w:rPr>
          <w:color w:val="231F20"/>
          <w:sz w:val="24"/>
        </w:rPr>
        <w:t>plead</w:t>
      </w:r>
    </w:p>
    <w:p>
      <w:pPr>
        <w:pStyle w:val="ListParagraph"/>
        <w:numPr>
          <w:ilvl w:val="0"/>
          <w:numId w:val="3"/>
        </w:numPr>
        <w:tabs>
          <w:tab w:pos="2160" w:val="left" w:leader="none"/>
          <w:tab w:pos="2161" w:val="left" w:leader="none"/>
        </w:tabs>
        <w:spacing w:line="240" w:lineRule="auto" w:before="0" w:after="0"/>
        <w:ind w:left="2160" w:right="0" w:hanging="360"/>
        <w:jc w:val="left"/>
        <w:rPr>
          <w:sz w:val="24"/>
        </w:rPr>
      </w:pPr>
      <w:r>
        <w:rPr>
          <w:color w:val="231F20"/>
          <w:sz w:val="24"/>
        </w:rPr>
        <w:t>Supported Decision Making Project Steering</w:t>
      </w:r>
      <w:r>
        <w:rPr>
          <w:color w:val="231F20"/>
          <w:spacing w:val="-7"/>
          <w:sz w:val="24"/>
        </w:rPr>
        <w:t> </w:t>
      </w:r>
      <w:r>
        <w:rPr>
          <w:color w:val="231F20"/>
          <w:sz w:val="24"/>
        </w:rPr>
        <w:t>Group</w:t>
      </w:r>
    </w:p>
    <w:p>
      <w:pPr>
        <w:pStyle w:val="ListParagraph"/>
        <w:numPr>
          <w:ilvl w:val="0"/>
          <w:numId w:val="3"/>
        </w:numPr>
        <w:tabs>
          <w:tab w:pos="2160" w:val="left" w:leader="none"/>
          <w:tab w:pos="2161" w:val="left" w:leader="none"/>
        </w:tabs>
        <w:spacing w:line="273" w:lineRule="auto" w:before="40" w:after="0"/>
        <w:ind w:left="2160" w:right="1582" w:hanging="360"/>
        <w:jc w:val="left"/>
        <w:rPr>
          <w:sz w:val="24"/>
        </w:rPr>
      </w:pPr>
      <w:r>
        <w:rPr>
          <w:color w:val="231F20"/>
          <w:sz w:val="24"/>
        </w:rPr>
        <w:t>Transition - Disability Services Commission Accommodation Support Directorate and independent review panel</w:t>
      </w:r>
      <w:r>
        <w:rPr>
          <w:color w:val="231F20"/>
          <w:spacing w:val="-6"/>
          <w:sz w:val="24"/>
        </w:rPr>
        <w:t> </w:t>
      </w:r>
      <w:r>
        <w:rPr>
          <w:color w:val="231F20"/>
          <w:sz w:val="24"/>
        </w:rPr>
        <w:t>member</w:t>
      </w:r>
    </w:p>
    <w:p>
      <w:pPr>
        <w:pStyle w:val="ListParagraph"/>
        <w:numPr>
          <w:ilvl w:val="0"/>
          <w:numId w:val="3"/>
        </w:numPr>
        <w:tabs>
          <w:tab w:pos="2160" w:val="left" w:leader="none"/>
          <w:tab w:pos="2161" w:val="left" w:leader="none"/>
        </w:tabs>
        <w:spacing w:line="240" w:lineRule="auto" w:before="1" w:after="0"/>
        <w:ind w:left="2160" w:right="0" w:hanging="360"/>
        <w:jc w:val="left"/>
        <w:rPr>
          <w:sz w:val="24"/>
        </w:rPr>
      </w:pPr>
      <w:r>
        <w:rPr>
          <w:color w:val="231F20"/>
          <w:sz w:val="24"/>
        </w:rPr>
        <w:t>NDIS </w:t>
      </w:r>
      <w:r>
        <w:rPr>
          <w:color w:val="231F20"/>
          <w:spacing w:val="2"/>
          <w:sz w:val="24"/>
        </w:rPr>
        <w:t>WA </w:t>
      </w:r>
      <w:r>
        <w:rPr>
          <w:color w:val="231F20"/>
          <w:sz w:val="24"/>
        </w:rPr>
        <w:t>- NDIA Perth Hills Advisory Group</w:t>
      </w:r>
      <w:r>
        <w:rPr>
          <w:color w:val="231F20"/>
          <w:spacing w:val="-21"/>
          <w:sz w:val="24"/>
        </w:rPr>
        <w:t> </w:t>
      </w:r>
      <w:r>
        <w:rPr>
          <w:color w:val="231F20"/>
          <w:sz w:val="24"/>
        </w:rPr>
        <w:t>Hills</w:t>
      </w:r>
    </w:p>
    <w:p>
      <w:pPr>
        <w:pStyle w:val="ListParagraph"/>
        <w:numPr>
          <w:ilvl w:val="0"/>
          <w:numId w:val="3"/>
        </w:numPr>
        <w:tabs>
          <w:tab w:pos="2160" w:val="left" w:leader="none"/>
          <w:tab w:pos="2161" w:val="left" w:leader="none"/>
        </w:tabs>
        <w:spacing w:line="240" w:lineRule="auto" w:before="40" w:after="0"/>
        <w:ind w:left="2160" w:right="0" w:hanging="360"/>
        <w:jc w:val="left"/>
        <w:rPr>
          <w:sz w:val="24"/>
        </w:rPr>
      </w:pPr>
      <w:r>
        <w:rPr>
          <w:color w:val="231F20"/>
          <w:sz w:val="24"/>
        </w:rPr>
        <w:t>NDIS </w:t>
      </w:r>
      <w:r>
        <w:rPr>
          <w:color w:val="231F20"/>
          <w:spacing w:val="2"/>
          <w:sz w:val="24"/>
        </w:rPr>
        <w:t>WA </w:t>
      </w:r>
      <w:r>
        <w:rPr>
          <w:color w:val="231F20"/>
          <w:sz w:val="24"/>
        </w:rPr>
        <w:t>– My </w:t>
      </w:r>
      <w:r>
        <w:rPr>
          <w:color w:val="231F20"/>
          <w:spacing w:val="1"/>
          <w:sz w:val="24"/>
        </w:rPr>
        <w:t>Way </w:t>
      </w:r>
      <w:r>
        <w:rPr>
          <w:color w:val="231F20"/>
          <w:sz w:val="24"/>
        </w:rPr>
        <w:t>Reference</w:t>
      </w:r>
      <w:r>
        <w:rPr>
          <w:color w:val="231F20"/>
          <w:spacing w:val="-23"/>
          <w:sz w:val="24"/>
        </w:rPr>
        <w:t> </w:t>
      </w:r>
      <w:r>
        <w:rPr>
          <w:color w:val="231F20"/>
          <w:sz w:val="24"/>
        </w:rPr>
        <w:t>Group</w:t>
      </w:r>
    </w:p>
    <w:p>
      <w:pPr>
        <w:pStyle w:val="ListParagraph"/>
        <w:numPr>
          <w:ilvl w:val="0"/>
          <w:numId w:val="3"/>
        </w:numPr>
        <w:tabs>
          <w:tab w:pos="2161" w:val="left" w:leader="none"/>
          <w:tab w:pos="2162" w:val="left" w:leader="none"/>
        </w:tabs>
        <w:spacing w:line="240" w:lineRule="auto" w:before="39" w:after="0"/>
        <w:ind w:left="2161" w:right="0" w:hanging="360"/>
        <w:jc w:val="left"/>
        <w:rPr>
          <w:sz w:val="24"/>
        </w:rPr>
      </w:pPr>
      <w:r>
        <w:rPr>
          <w:color w:val="231F20"/>
          <w:sz w:val="24"/>
        </w:rPr>
        <w:t>Disability Health</w:t>
      </w:r>
      <w:r>
        <w:rPr>
          <w:color w:val="231F20"/>
          <w:spacing w:val="-4"/>
          <w:sz w:val="24"/>
        </w:rPr>
        <w:t> </w:t>
      </w:r>
      <w:r>
        <w:rPr>
          <w:color w:val="231F20"/>
          <w:sz w:val="24"/>
        </w:rPr>
        <w:t>Network</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Disability Discrimination Unit Reference</w:t>
      </w:r>
      <w:r>
        <w:rPr>
          <w:color w:val="231F20"/>
          <w:spacing w:val="-6"/>
          <w:sz w:val="24"/>
        </w:rPr>
        <w:t> </w:t>
      </w:r>
      <w:r>
        <w:rPr>
          <w:color w:val="231F20"/>
          <w:sz w:val="24"/>
        </w:rPr>
        <w:t>Group</w:t>
      </w:r>
    </w:p>
    <w:p>
      <w:pPr>
        <w:pStyle w:val="ListParagraph"/>
        <w:numPr>
          <w:ilvl w:val="0"/>
          <w:numId w:val="3"/>
        </w:numPr>
        <w:tabs>
          <w:tab w:pos="2161" w:val="left" w:leader="none"/>
          <w:tab w:pos="2162" w:val="left" w:leader="none"/>
        </w:tabs>
        <w:spacing w:line="240" w:lineRule="auto" w:before="39" w:after="0"/>
        <w:ind w:left="2161" w:right="0" w:hanging="360"/>
        <w:jc w:val="left"/>
        <w:rPr>
          <w:sz w:val="24"/>
        </w:rPr>
      </w:pPr>
      <w:r>
        <w:rPr>
          <w:color w:val="231F20"/>
          <w:sz w:val="24"/>
        </w:rPr>
        <w:t>Housing Advisory</w:t>
      </w:r>
      <w:r>
        <w:rPr>
          <w:color w:val="231F20"/>
          <w:spacing w:val="-5"/>
          <w:sz w:val="24"/>
        </w:rPr>
        <w:t> </w:t>
      </w:r>
      <w:r>
        <w:rPr>
          <w:color w:val="231F20"/>
          <w:sz w:val="24"/>
        </w:rPr>
        <w:t>Roundtable</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NDS Pre-budget Submission Reference Group</w:t>
      </w:r>
      <w:r>
        <w:rPr>
          <w:color w:val="231F20"/>
          <w:spacing w:val="-6"/>
          <w:sz w:val="24"/>
        </w:rPr>
        <w:t> </w:t>
      </w:r>
      <w:r>
        <w:rPr>
          <w:color w:val="231F20"/>
          <w:sz w:val="24"/>
        </w:rPr>
        <w:t>Meeting</w:t>
      </w:r>
    </w:p>
    <w:p>
      <w:pPr>
        <w:pStyle w:val="ListParagraph"/>
        <w:numPr>
          <w:ilvl w:val="0"/>
          <w:numId w:val="3"/>
        </w:numPr>
        <w:tabs>
          <w:tab w:pos="2161" w:val="left" w:leader="none"/>
          <w:tab w:pos="2162" w:val="left" w:leader="none"/>
        </w:tabs>
        <w:spacing w:line="240" w:lineRule="auto" w:before="39" w:after="0"/>
        <w:ind w:left="2161" w:right="0" w:hanging="360"/>
        <w:jc w:val="left"/>
        <w:rPr>
          <w:sz w:val="24"/>
        </w:rPr>
      </w:pPr>
      <w:r>
        <w:rPr>
          <w:color w:val="231F20"/>
          <w:spacing w:val="1"/>
          <w:sz w:val="24"/>
        </w:rPr>
        <w:t>WA </w:t>
      </w:r>
      <w:r>
        <w:rPr>
          <w:color w:val="231F20"/>
          <w:sz w:val="24"/>
        </w:rPr>
        <w:t>Peaks Forum Quarterly</w:t>
      </w:r>
      <w:r>
        <w:rPr>
          <w:color w:val="231F20"/>
          <w:spacing w:val="-10"/>
          <w:sz w:val="24"/>
        </w:rPr>
        <w:t> </w:t>
      </w:r>
      <w:r>
        <w:rPr>
          <w:color w:val="231F20"/>
          <w:sz w:val="24"/>
        </w:rPr>
        <w:t>Meeting</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Perth Stadium Access</w:t>
      </w:r>
      <w:r>
        <w:rPr>
          <w:color w:val="231F20"/>
          <w:spacing w:val="-4"/>
          <w:sz w:val="24"/>
        </w:rPr>
        <w:t> </w:t>
      </w:r>
      <w:r>
        <w:rPr>
          <w:color w:val="231F20"/>
          <w:sz w:val="24"/>
        </w:rPr>
        <w:t>Meetings</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EDAC Interagency Network</w:t>
      </w:r>
      <w:r>
        <w:rPr>
          <w:color w:val="231F20"/>
          <w:spacing w:val="-5"/>
          <w:sz w:val="24"/>
        </w:rPr>
        <w:t> </w:t>
      </w:r>
      <w:r>
        <w:rPr>
          <w:color w:val="231F20"/>
          <w:sz w:val="24"/>
        </w:rPr>
        <w:t>Meetings</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2015 Disability Support Awards Judging</w:t>
      </w:r>
      <w:r>
        <w:rPr>
          <w:color w:val="231F20"/>
          <w:spacing w:val="-6"/>
          <w:sz w:val="24"/>
        </w:rPr>
        <w:t> </w:t>
      </w:r>
      <w:r>
        <w:rPr>
          <w:color w:val="231F20"/>
          <w:sz w:val="24"/>
        </w:rPr>
        <w:t>Panel</w:t>
      </w:r>
    </w:p>
    <w:p>
      <w:pPr>
        <w:pStyle w:val="ListParagraph"/>
        <w:numPr>
          <w:ilvl w:val="0"/>
          <w:numId w:val="3"/>
        </w:numPr>
        <w:tabs>
          <w:tab w:pos="2161" w:val="left" w:leader="none"/>
          <w:tab w:pos="2162" w:val="left" w:leader="none"/>
        </w:tabs>
        <w:spacing w:line="240" w:lineRule="auto" w:before="39" w:after="0"/>
        <w:ind w:left="2161" w:right="0" w:hanging="360"/>
        <w:jc w:val="left"/>
        <w:rPr>
          <w:sz w:val="24"/>
        </w:rPr>
      </w:pPr>
      <w:r>
        <w:rPr>
          <w:color w:val="231F20"/>
          <w:sz w:val="24"/>
        </w:rPr>
        <w:t>Attended Women with Disability and Governance</w:t>
      </w:r>
      <w:r>
        <w:rPr>
          <w:color w:val="231F20"/>
          <w:spacing w:val="-13"/>
          <w:sz w:val="24"/>
        </w:rPr>
        <w:t> </w:t>
      </w:r>
      <w:r>
        <w:rPr>
          <w:color w:val="231F20"/>
          <w:sz w:val="24"/>
        </w:rPr>
        <w:t>forum</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National Quality and Safeguarding framework</w:t>
      </w:r>
      <w:r>
        <w:rPr>
          <w:color w:val="231F20"/>
          <w:spacing w:val="-12"/>
          <w:sz w:val="24"/>
        </w:rPr>
        <w:t> </w:t>
      </w:r>
      <w:r>
        <w:rPr>
          <w:color w:val="231F20"/>
          <w:sz w:val="24"/>
        </w:rPr>
        <w:t>consultation</w:t>
      </w:r>
    </w:p>
    <w:p>
      <w:pPr>
        <w:pStyle w:val="ListParagraph"/>
        <w:numPr>
          <w:ilvl w:val="0"/>
          <w:numId w:val="3"/>
        </w:numPr>
        <w:tabs>
          <w:tab w:pos="2161" w:val="left" w:leader="none"/>
          <w:tab w:pos="2162" w:val="left" w:leader="none"/>
        </w:tabs>
        <w:spacing w:line="240" w:lineRule="auto" w:before="39" w:after="0"/>
        <w:ind w:left="2161" w:right="0" w:hanging="360"/>
        <w:jc w:val="left"/>
        <w:rPr>
          <w:sz w:val="24"/>
        </w:rPr>
      </w:pPr>
      <w:r>
        <w:rPr>
          <w:color w:val="231F20"/>
          <w:sz w:val="24"/>
        </w:rPr>
        <w:t>HADSCO community organisation</w:t>
      </w:r>
      <w:r>
        <w:rPr>
          <w:color w:val="231F20"/>
          <w:spacing w:val="-5"/>
          <w:sz w:val="24"/>
        </w:rPr>
        <w:t> </w:t>
      </w:r>
      <w:r>
        <w:rPr>
          <w:color w:val="231F20"/>
          <w:sz w:val="24"/>
        </w:rPr>
        <w:t>meeting</w:t>
      </w:r>
    </w:p>
    <w:p>
      <w:pPr>
        <w:pStyle w:val="ListParagraph"/>
        <w:numPr>
          <w:ilvl w:val="0"/>
          <w:numId w:val="3"/>
        </w:numPr>
        <w:tabs>
          <w:tab w:pos="2161" w:val="left" w:leader="none"/>
          <w:tab w:pos="2162" w:val="left" w:leader="none"/>
        </w:tabs>
        <w:spacing w:line="240" w:lineRule="auto" w:before="40" w:after="0"/>
        <w:ind w:left="2161" w:right="0" w:hanging="360"/>
        <w:jc w:val="left"/>
        <w:rPr>
          <w:sz w:val="24"/>
        </w:rPr>
      </w:pPr>
      <w:r>
        <w:rPr>
          <w:color w:val="231F20"/>
          <w:sz w:val="24"/>
        </w:rPr>
        <w:t>National Disability Employment Framework Forum People with</w:t>
      </w:r>
      <w:r>
        <w:rPr>
          <w:color w:val="231F20"/>
          <w:spacing w:val="-10"/>
          <w:sz w:val="24"/>
        </w:rPr>
        <w:t> </w:t>
      </w:r>
      <w:r>
        <w:rPr>
          <w:color w:val="231F20"/>
          <w:sz w:val="24"/>
        </w:rPr>
        <w:t>Disability</w:t>
      </w:r>
    </w:p>
    <w:p>
      <w:pPr>
        <w:pStyle w:val="ListParagraph"/>
        <w:numPr>
          <w:ilvl w:val="0"/>
          <w:numId w:val="3"/>
        </w:numPr>
        <w:tabs>
          <w:tab w:pos="2162" w:val="left" w:leader="none"/>
          <w:tab w:pos="2163" w:val="left" w:leader="none"/>
        </w:tabs>
        <w:spacing w:line="240" w:lineRule="auto" w:before="40" w:after="0"/>
        <w:ind w:left="2162" w:right="0" w:hanging="360"/>
        <w:jc w:val="left"/>
        <w:rPr>
          <w:sz w:val="24"/>
        </w:rPr>
      </w:pPr>
      <w:r>
        <w:rPr>
          <w:color w:val="231F20"/>
          <w:sz w:val="24"/>
        </w:rPr>
        <w:t>Beyond The Quad Centre</w:t>
      </w:r>
      <w:r>
        <w:rPr>
          <w:color w:val="231F20"/>
          <w:spacing w:val="-3"/>
          <w:sz w:val="24"/>
        </w:rPr>
        <w:t> </w:t>
      </w:r>
      <w:r>
        <w:rPr>
          <w:color w:val="231F20"/>
          <w:sz w:val="24"/>
        </w:rPr>
        <w:t>Project</w:t>
      </w:r>
    </w:p>
    <w:p>
      <w:pPr>
        <w:pStyle w:val="ListParagraph"/>
        <w:numPr>
          <w:ilvl w:val="0"/>
          <w:numId w:val="3"/>
        </w:numPr>
        <w:tabs>
          <w:tab w:pos="2162" w:val="left" w:leader="none"/>
          <w:tab w:pos="2163" w:val="left" w:leader="none"/>
        </w:tabs>
        <w:spacing w:line="240" w:lineRule="auto" w:before="39" w:after="0"/>
        <w:ind w:left="2162" w:right="0" w:hanging="360"/>
        <w:jc w:val="left"/>
        <w:rPr>
          <w:sz w:val="24"/>
        </w:rPr>
      </w:pPr>
      <w:r>
        <w:rPr>
          <w:color w:val="231F20"/>
          <w:sz w:val="24"/>
        </w:rPr>
        <w:t>Health and Older Australians, Disability and Carers</w:t>
      </w:r>
      <w:r>
        <w:rPr>
          <w:color w:val="231F20"/>
          <w:spacing w:val="-12"/>
          <w:sz w:val="24"/>
        </w:rPr>
        <w:t> </w:t>
      </w:r>
      <w:r>
        <w:rPr>
          <w:color w:val="231F20"/>
          <w:sz w:val="24"/>
        </w:rPr>
        <w:t>Forums</w:t>
      </w:r>
    </w:p>
    <w:p>
      <w:pPr>
        <w:pStyle w:val="ListParagraph"/>
        <w:numPr>
          <w:ilvl w:val="0"/>
          <w:numId w:val="3"/>
        </w:numPr>
        <w:tabs>
          <w:tab w:pos="2162" w:val="left" w:leader="none"/>
          <w:tab w:pos="2163" w:val="left" w:leader="none"/>
        </w:tabs>
        <w:spacing w:line="240" w:lineRule="auto" w:before="40" w:after="0"/>
        <w:ind w:left="2162" w:right="0" w:hanging="360"/>
        <w:jc w:val="left"/>
        <w:rPr>
          <w:sz w:val="24"/>
        </w:rPr>
      </w:pPr>
      <w:r>
        <w:rPr>
          <w:color w:val="231F20"/>
          <w:spacing w:val="1"/>
          <w:sz w:val="24"/>
        </w:rPr>
        <w:t>WA </w:t>
      </w:r>
      <w:r>
        <w:rPr>
          <w:color w:val="231F20"/>
          <w:sz w:val="24"/>
        </w:rPr>
        <w:t>Housing Hub</w:t>
      </w:r>
      <w:r>
        <w:rPr>
          <w:color w:val="231F20"/>
          <w:spacing w:val="-10"/>
          <w:sz w:val="24"/>
        </w:rPr>
        <w:t> </w:t>
      </w:r>
      <w:r>
        <w:rPr>
          <w:color w:val="231F20"/>
          <w:sz w:val="24"/>
        </w:rPr>
        <w:t>Launch</w:t>
      </w:r>
    </w:p>
    <w:p>
      <w:pPr>
        <w:pStyle w:val="ListParagraph"/>
        <w:numPr>
          <w:ilvl w:val="0"/>
          <w:numId w:val="3"/>
        </w:numPr>
        <w:tabs>
          <w:tab w:pos="2162" w:val="left" w:leader="none"/>
          <w:tab w:pos="2163" w:val="left" w:leader="none"/>
        </w:tabs>
        <w:spacing w:line="240" w:lineRule="auto" w:before="39" w:after="0"/>
        <w:ind w:left="2162" w:right="0" w:hanging="360"/>
        <w:jc w:val="left"/>
        <w:rPr>
          <w:sz w:val="24"/>
        </w:rPr>
      </w:pPr>
      <w:r>
        <w:rPr>
          <w:color w:val="231F20"/>
          <w:sz w:val="24"/>
        </w:rPr>
        <w:t>Disability Employment Services Focus Group</w:t>
      </w:r>
      <w:r>
        <w:rPr>
          <w:color w:val="231F20"/>
          <w:spacing w:val="-9"/>
          <w:sz w:val="24"/>
        </w:rPr>
        <w:t> </w:t>
      </w:r>
      <w:r>
        <w:rPr>
          <w:color w:val="231F20"/>
          <w:sz w:val="24"/>
        </w:rPr>
        <w:t>Meeting</w:t>
      </w:r>
    </w:p>
    <w:p>
      <w:pPr>
        <w:pStyle w:val="ListParagraph"/>
        <w:numPr>
          <w:ilvl w:val="0"/>
          <w:numId w:val="3"/>
        </w:numPr>
        <w:tabs>
          <w:tab w:pos="2162" w:val="left" w:leader="none"/>
          <w:tab w:pos="2163" w:val="left" w:leader="none"/>
        </w:tabs>
        <w:spacing w:line="273" w:lineRule="auto" w:before="40" w:after="0"/>
        <w:ind w:left="2162" w:right="1582" w:hanging="360"/>
        <w:jc w:val="left"/>
        <w:rPr>
          <w:sz w:val="24"/>
        </w:rPr>
      </w:pPr>
      <w:r>
        <w:rPr>
          <w:color w:val="231F20"/>
          <w:sz w:val="24"/>
        </w:rPr>
        <w:t>State Parliament Inquiry into Accommodation and Intensive Family Support Funding for People with</w:t>
      </w:r>
      <w:r>
        <w:rPr>
          <w:color w:val="231F20"/>
          <w:spacing w:val="-10"/>
          <w:sz w:val="24"/>
        </w:rPr>
        <w:t> </w:t>
      </w:r>
      <w:r>
        <w:rPr>
          <w:color w:val="231F20"/>
          <w:sz w:val="24"/>
        </w:rPr>
        <w:t>Disabilities</w:t>
      </w:r>
    </w:p>
    <w:p>
      <w:pPr>
        <w:pStyle w:val="ListParagraph"/>
        <w:numPr>
          <w:ilvl w:val="0"/>
          <w:numId w:val="3"/>
        </w:numPr>
        <w:tabs>
          <w:tab w:pos="2162" w:val="left" w:leader="none"/>
          <w:tab w:pos="2163" w:val="left" w:leader="none"/>
        </w:tabs>
        <w:spacing w:line="240" w:lineRule="auto" w:before="1" w:after="0"/>
        <w:ind w:left="2162" w:right="0" w:hanging="360"/>
        <w:jc w:val="left"/>
        <w:rPr>
          <w:sz w:val="24"/>
        </w:rPr>
      </w:pPr>
      <w:r>
        <w:rPr>
          <w:color w:val="231F20"/>
          <w:sz w:val="24"/>
        </w:rPr>
        <w:t>Joint Parliamentary Standing Committee on the NDIS</w:t>
      </w:r>
      <w:r>
        <w:rPr>
          <w:color w:val="231F20"/>
          <w:spacing w:val="-14"/>
          <w:sz w:val="24"/>
        </w:rPr>
        <w:t> </w:t>
      </w:r>
      <w:r>
        <w:rPr>
          <w:color w:val="231F20"/>
          <w:sz w:val="24"/>
        </w:rPr>
        <w:t>hearing</w:t>
      </w:r>
    </w:p>
    <w:p>
      <w:pPr>
        <w:pStyle w:val="ListParagraph"/>
        <w:numPr>
          <w:ilvl w:val="0"/>
          <w:numId w:val="3"/>
        </w:numPr>
        <w:tabs>
          <w:tab w:pos="2162" w:val="left" w:leader="none"/>
          <w:tab w:pos="2163" w:val="left" w:leader="none"/>
        </w:tabs>
        <w:spacing w:line="273" w:lineRule="auto" w:before="40" w:after="0"/>
        <w:ind w:left="2162" w:right="1577" w:hanging="360"/>
        <w:jc w:val="left"/>
        <w:rPr>
          <w:sz w:val="24"/>
        </w:rPr>
      </w:pPr>
      <w:r>
        <w:rPr>
          <w:color w:val="231F20"/>
          <w:sz w:val="24"/>
        </w:rPr>
        <w:t>Self Advocacy, Peer Support Networks – practical and administrative support to initiatives lead by people with</w:t>
      </w:r>
      <w:r>
        <w:rPr>
          <w:color w:val="231F20"/>
          <w:spacing w:val="-7"/>
          <w:sz w:val="24"/>
        </w:rPr>
        <w:t> </w:t>
      </w:r>
      <w:r>
        <w:rPr>
          <w:color w:val="231F20"/>
          <w:sz w:val="24"/>
        </w:rPr>
        <w:t>disability</w:t>
      </w:r>
    </w:p>
    <w:p>
      <w:pPr>
        <w:pStyle w:val="ListParagraph"/>
        <w:numPr>
          <w:ilvl w:val="0"/>
          <w:numId w:val="3"/>
        </w:numPr>
        <w:tabs>
          <w:tab w:pos="2163" w:val="left" w:leader="none"/>
        </w:tabs>
        <w:spacing w:line="273" w:lineRule="auto" w:before="0" w:after="0"/>
        <w:ind w:left="2162" w:right="1575" w:hanging="360"/>
        <w:jc w:val="both"/>
        <w:rPr>
          <w:sz w:val="24"/>
        </w:rPr>
      </w:pPr>
      <w:r>
        <w:rPr>
          <w:color w:val="231F20"/>
          <w:sz w:val="24"/>
        </w:rPr>
        <w:t>Liaising and facilitating meetings with First Peoples Disability Advocacy Network </w:t>
      </w:r>
      <w:r>
        <w:rPr>
          <w:color w:val="231F20"/>
          <w:spacing w:val="2"/>
          <w:sz w:val="24"/>
        </w:rPr>
        <w:t>WA </w:t>
      </w:r>
      <w:r>
        <w:rPr>
          <w:color w:val="231F20"/>
          <w:sz w:val="24"/>
        </w:rPr>
        <w:t>and being on the Steering Committee for organisation development</w:t>
      </w:r>
    </w:p>
    <w:p>
      <w:pPr>
        <w:pStyle w:val="ListParagraph"/>
        <w:numPr>
          <w:ilvl w:val="0"/>
          <w:numId w:val="3"/>
        </w:numPr>
        <w:tabs>
          <w:tab w:pos="2162" w:val="left" w:leader="none"/>
          <w:tab w:pos="2163" w:val="left" w:leader="none"/>
        </w:tabs>
        <w:spacing w:line="240" w:lineRule="auto" w:before="6" w:after="0"/>
        <w:ind w:left="2162" w:right="0" w:hanging="360"/>
        <w:jc w:val="left"/>
        <w:rPr>
          <w:sz w:val="24"/>
        </w:rPr>
      </w:pPr>
      <w:r>
        <w:rPr>
          <w:color w:val="231F20"/>
          <w:sz w:val="24"/>
        </w:rPr>
        <w:t>Transport – various forums and working</w:t>
      </w:r>
      <w:r>
        <w:rPr>
          <w:color w:val="231F20"/>
          <w:spacing w:val="-11"/>
          <w:sz w:val="24"/>
        </w:rPr>
        <w:t> </w:t>
      </w:r>
      <w:r>
        <w:rPr>
          <w:color w:val="231F20"/>
          <w:sz w:val="24"/>
        </w:rPr>
        <w:t>groups</w:t>
      </w:r>
    </w:p>
    <w:p>
      <w:pPr>
        <w:pStyle w:val="BodyText"/>
        <w:spacing w:before="3"/>
        <w:rPr>
          <w:sz w:val="18"/>
        </w:rPr>
      </w:pPr>
    </w:p>
    <w:p>
      <w:pPr>
        <w:pStyle w:val="BodyText"/>
        <w:spacing w:before="92"/>
        <w:ind w:left="2186"/>
      </w:pPr>
      <w:r>
        <w:rPr>
          <w:color w:val="44536A"/>
        </w:rPr>
        <w:t>Annual Report 2014 – 2015</w:t>
      </w:r>
    </w:p>
    <w:p>
      <w:pPr>
        <w:pStyle w:val="BodyText"/>
        <w:spacing w:before="27"/>
        <w:ind w:right="1573"/>
        <w:jc w:val="right"/>
      </w:pPr>
      <w:r>
        <w:rPr>
          <w:color w:val="44536A"/>
        </w:rPr>
        <w:t>Page 28</w:t>
      </w:r>
    </w:p>
    <w:p>
      <w:pPr>
        <w:spacing w:after="0"/>
        <w:jc w:val="right"/>
        <w:sectPr>
          <w:headerReference w:type="default" r:id="rId56"/>
          <w:pgSz w:w="11910" w:h="16840"/>
          <w:pgMar w:header="0" w:footer="524" w:top="960" w:bottom="720" w:left="0" w:right="220"/>
        </w:sectPr>
      </w:pPr>
    </w:p>
    <w:p>
      <w:pPr>
        <w:pStyle w:val="BodyText"/>
        <w:spacing w:before="4"/>
        <w:rPr>
          <w:sz w:val="2"/>
        </w:rPr>
      </w:pPr>
    </w:p>
    <w:p>
      <w:pPr>
        <w:pStyle w:val="BodyText"/>
        <w:spacing w:line="20" w:lineRule="exact"/>
        <w:ind w:left="1766"/>
        <w:rPr>
          <w:sz w:val="2"/>
        </w:rPr>
      </w:pPr>
      <w:r>
        <w:rPr>
          <w:sz w:val="2"/>
        </w:rPr>
        <w:pict>
          <v:group style="width:436.3pt;height:.5pt;mso-position-horizontal-relative:char;mso-position-vertical-relative:line" coordorigin="0,0" coordsize="8726,10">
            <v:line style="position:absolute" from="0,5" to="8725,5" stroked="true" strokeweight=".48pt" strokecolor="#231f20">
              <v:stroke dashstyle="solid"/>
            </v:line>
          </v:group>
        </w:pict>
      </w:r>
      <w:r>
        <w:rPr>
          <w:sz w:val="2"/>
        </w:rPr>
      </w:r>
    </w:p>
    <w:p>
      <w:pPr>
        <w:pStyle w:val="BodyText"/>
        <w:spacing w:before="3"/>
        <w:rPr>
          <w:sz w:val="27"/>
        </w:rPr>
      </w:pPr>
    </w:p>
    <w:p>
      <w:pPr>
        <w:pStyle w:val="ListParagraph"/>
        <w:numPr>
          <w:ilvl w:val="1"/>
          <w:numId w:val="3"/>
        </w:numPr>
        <w:tabs>
          <w:tab w:pos="2520" w:val="left" w:leader="none"/>
          <w:tab w:pos="2521" w:val="left" w:leader="none"/>
        </w:tabs>
        <w:spacing w:line="240" w:lineRule="auto" w:before="100" w:after="0"/>
        <w:ind w:left="2520" w:right="0" w:hanging="360"/>
        <w:jc w:val="left"/>
        <w:rPr>
          <w:sz w:val="24"/>
        </w:rPr>
      </w:pPr>
      <w:r>
        <w:rPr>
          <w:color w:val="231F20"/>
          <w:sz w:val="24"/>
        </w:rPr>
        <w:t>Meeting with Ministers, advisors and providing MP</w:t>
      </w:r>
      <w:r>
        <w:rPr>
          <w:color w:val="231F20"/>
          <w:spacing w:val="-11"/>
          <w:sz w:val="24"/>
        </w:rPr>
        <w:t> </w:t>
      </w:r>
      <w:r>
        <w:rPr>
          <w:color w:val="231F20"/>
          <w:sz w:val="24"/>
        </w:rPr>
        <w:t>briefings</w:t>
      </w:r>
    </w:p>
    <w:p>
      <w:pPr>
        <w:pStyle w:val="ListParagraph"/>
        <w:numPr>
          <w:ilvl w:val="1"/>
          <w:numId w:val="3"/>
        </w:numPr>
        <w:tabs>
          <w:tab w:pos="2521" w:val="left" w:leader="none"/>
        </w:tabs>
        <w:spacing w:line="273" w:lineRule="auto" w:before="40" w:after="0"/>
        <w:ind w:left="2520" w:right="1215" w:hanging="360"/>
        <w:jc w:val="both"/>
        <w:rPr>
          <w:sz w:val="24"/>
        </w:rPr>
      </w:pPr>
      <w:r>
        <w:rPr>
          <w:color w:val="231F20"/>
          <w:sz w:val="24"/>
        </w:rPr>
        <w:t>Disability Coalition – State funded Advocacy Orgs, Disability and Mental Health Service Provider peaks, </w:t>
      </w:r>
      <w:r>
        <w:rPr>
          <w:color w:val="231F20"/>
          <w:spacing w:val="2"/>
          <w:sz w:val="24"/>
        </w:rPr>
        <w:t>WA </w:t>
      </w:r>
      <w:r>
        <w:rPr>
          <w:color w:val="231F20"/>
          <w:sz w:val="24"/>
        </w:rPr>
        <w:t>Carers, Mental Health Consumer Peaks, and</w:t>
      </w:r>
      <w:r>
        <w:rPr>
          <w:color w:val="231F20"/>
          <w:spacing w:val="-3"/>
          <w:sz w:val="24"/>
        </w:rPr>
        <w:t> </w:t>
      </w:r>
      <w:r>
        <w:rPr>
          <w:color w:val="231F20"/>
          <w:sz w:val="24"/>
        </w:rPr>
        <w:t>CASA</w:t>
      </w:r>
    </w:p>
    <w:p>
      <w:pPr>
        <w:pStyle w:val="ListParagraph"/>
        <w:numPr>
          <w:ilvl w:val="1"/>
          <w:numId w:val="3"/>
        </w:numPr>
        <w:tabs>
          <w:tab w:pos="2520" w:val="left" w:leader="none"/>
          <w:tab w:pos="2521" w:val="left" w:leader="none"/>
        </w:tabs>
        <w:spacing w:line="240" w:lineRule="auto" w:before="3" w:after="0"/>
        <w:ind w:left="2520" w:right="0" w:hanging="360"/>
        <w:jc w:val="left"/>
        <w:rPr>
          <w:sz w:val="24"/>
        </w:rPr>
      </w:pPr>
      <w:r>
        <w:rPr>
          <w:color w:val="231F20"/>
          <w:sz w:val="24"/>
        </w:rPr>
        <w:t>Hosted Diverse Leaders Inc. meetings and</w:t>
      </w:r>
      <w:r>
        <w:rPr>
          <w:color w:val="231F20"/>
          <w:spacing w:val="-5"/>
          <w:sz w:val="24"/>
        </w:rPr>
        <w:t> </w:t>
      </w:r>
      <w:r>
        <w:rPr>
          <w:color w:val="231F20"/>
          <w:sz w:val="24"/>
        </w:rPr>
        <w:t>training</w:t>
      </w:r>
    </w:p>
    <w:p>
      <w:pPr>
        <w:pStyle w:val="BodyText"/>
        <w:rPr>
          <w:sz w:val="28"/>
        </w:rPr>
      </w:pPr>
    </w:p>
    <w:p>
      <w:pPr>
        <w:pStyle w:val="BodyText"/>
        <w:spacing w:before="1"/>
        <w:rPr>
          <w:sz w:val="29"/>
        </w:rPr>
      </w:pPr>
    </w:p>
    <w:p>
      <w:pPr>
        <w:pStyle w:val="Heading1"/>
        <w:spacing w:before="0"/>
      </w:pPr>
      <w:bookmarkStart w:name="_TOC_250000" w:id="17"/>
      <w:bookmarkEnd w:id="17"/>
      <w:r>
        <w:rPr>
          <w:color w:val="231F20"/>
        </w:rPr>
        <w:t>Community Education &amp; Promotion</w:t>
      </w:r>
    </w:p>
    <w:p>
      <w:pPr>
        <w:pStyle w:val="BodyText"/>
        <w:spacing w:line="276" w:lineRule="auto" w:before="92"/>
        <w:ind w:left="1800" w:right="1215"/>
      </w:pPr>
      <w:r>
        <w:rPr>
          <w:color w:val="231F20"/>
        </w:rPr>
        <w:t>All staff contributes to our community education and promotion of advocacy in various ways. This year specific promotion was done by:</w:t>
      </w:r>
    </w:p>
    <w:p>
      <w:pPr>
        <w:pStyle w:val="ListParagraph"/>
        <w:numPr>
          <w:ilvl w:val="1"/>
          <w:numId w:val="3"/>
        </w:numPr>
        <w:tabs>
          <w:tab w:pos="2520" w:val="left" w:leader="none"/>
          <w:tab w:pos="2521" w:val="left" w:leader="none"/>
        </w:tabs>
        <w:spacing w:line="240" w:lineRule="auto" w:before="199" w:after="0"/>
        <w:ind w:left="2520" w:right="0" w:hanging="360"/>
        <w:jc w:val="left"/>
        <w:rPr>
          <w:sz w:val="24"/>
        </w:rPr>
      </w:pPr>
      <w:r>
        <w:rPr>
          <w:color w:val="231F20"/>
          <w:sz w:val="24"/>
        </w:rPr>
        <w:t>Presentations to Disability Service</w:t>
      </w:r>
      <w:r>
        <w:rPr>
          <w:color w:val="231F20"/>
          <w:spacing w:val="-29"/>
          <w:sz w:val="24"/>
        </w:rPr>
        <w:t> </w:t>
      </w:r>
      <w:r>
        <w:rPr>
          <w:color w:val="231F20"/>
          <w:sz w:val="24"/>
        </w:rPr>
        <w:t>Providers</w:t>
      </w:r>
    </w:p>
    <w:p>
      <w:pPr>
        <w:pStyle w:val="ListParagraph"/>
        <w:numPr>
          <w:ilvl w:val="1"/>
          <w:numId w:val="3"/>
        </w:numPr>
        <w:tabs>
          <w:tab w:pos="2520" w:val="left" w:leader="none"/>
          <w:tab w:pos="2521" w:val="left" w:leader="none"/>
        </w:tabs>
        <w:spacing w:line="240" w:lineRule="auto" w:before="242" w:after="0"/>
        <w:ind w:left="2520" w:right="0" w:hanging="360"/>
        <w:jc w:val="left"/>
        <w:rPr>
          <w:sz w:val="24"/>
        </w:rPr>
      </w:pPr>
      <w:r>
        <w:rPr>
          <w:color w:val="231F20"/>
          <w:sz w:val="24"/>
        </w:rPr>
        <w:t>Presentation to Volunteer Guardians at</w:t>
      </w:r>
      <w:r>
        <w:rPr>
          <w:color w:val="231F20"/>
          <w:spacing w:val="-16"/>
          <w:sz w:val="24"/>
        </w:rPr>
        <w:t> </w:t>
      </w:r>
      <w:r>
        <w:rPr>
          <w:color w:val="231F20"/>
          <w:sz w:val="24"/>
        </w:rPr>
        <w:t>OPA</w:t>
      </w:r>
    </w:p>
    <w:p>
      <w:pPr>
        <w:pStyle w:val="ListParagraph"/>
        <w:numPr>
          <w:ilvl w:val="1"/>
          <w:numId w:val="3"/>
        </w:numPr>
        <w:tabs>
          <w:tab w:pos="2520" w:val="left" w:leader="none"/>
          <w:tab w:pos="2521" w:val="left" w:leader="none"/>
        </w:tabs>
        <w:spacing w:line="240" w:lineRule="auto" w:before="239" w:after="0"/>
        <w:ind w:left="2520" w:right="0" w:hanging="360"/>
        <w:jc w:val="left"/>
        <w:rPr>
          <w:sz w:val="24"/>
        </w:rPr>
      </w:pPr>
      <w:r>
        <w:rPr>
          <w:color w:val="231F20"/>
          <w:sz w:val="24"/>
        </w:rPr>
        <w:t>Presentation to Parents Place in</w:t>
      </w:r>
      <w:r>
        <w:rPr>
          <w:color w:val="231F20"/>
          <w:spacing w:val="-6"/>
          <w:sz w:val="24"/>
        </w:rPr>
        <w:t> </w:t>
      </w:r>
      <w:r>
        <w:rPr>
          <w:color w:val="231F20"/>
          <w:sz w:val="24"/>
        </w:rPr>
        <w:t>Mandurah</w:t>
      </w:r>
    </w:p>
    <w:p>
      <w:pPr>
        <w:pStyle w:val="ListParagraph"/>
        <w:numPr>
          <w:ilvl w:val="1"/>
          <w:numId w:val="3"/>
        </w:numPr>
        <w:tabs>
          <w:tab w:pos="2520" w:val="left" w:leader="none"/>
          <w:tab w:pos="2521" w:val="left" w:leader="none"/>
        </w:tabs>
        <w:spacing w:line="240" w:lineRule="auto" w:before="239" w:after="0"/>
        <w:ind w:left="2520" w:right="0" w:hanging="360"/>
        <w:jc w:val="left"/>
        <w:rPr>
          <w:sz w:val="24"/>
        </w:rPr>
      </w:pPr>
      <w:r>
        <w:rPr>
          <w:color w:val="231F20"/>
          <w:sz w:val="24"/>
        </w:rPr>
        <w:t>Presentation at West Coast TAFE for International Womens</w:t>
      </w:r>
      <w:r>
        <w:rPr>
          <w:color w:val="231F20"/>
          <w:spacing w:val="-22"/>
          <w:sz w:val="24"/>
        </w:rPr>
        <w:t> </w:t>
      </w:r>
      <w:r>
        <w:rPr>
          <w:color w:val="231F20"/>
          <w:sz w:val="24"/>
        </w:rPr>
        <w:t>Day</w:t>
      </w:r>
    </w:p>
    <w:p>
      <w:pPr>
        <w:pStyle w:val="ListParagraph"/>
        <w:numPr>
          <w:ilvl w:val="1"/>
          <w:numId w:val="3"/>
        </w:numPr>
        <w:tabs>
          <w:tab w:pos="2520" w:val="left" w:leader="none"/>
          <w:tab w:pos="2521" w:val="left" w:leader="none"/>
        </w:tabs>
        <w:spacing w:line="240" w:lineRule="auto" w:before="241" w:after="0"/>
        <w:ind w:left="2520" w:right="0" w:hanging="360"/>
        <w:jc w:val="left"/>
        <w:rPr>
          <w:sz w:val="24"/>
        </w:rPr>
      </w:pPr>
      <w:r>
        <w:rPr>
          <w:color w:val="231F20"/>
          <w:sz w:val="24"/>
        </w:rPr>
        <w:t>HADSCO Advocate and Community Leader</w:t>
      </w:r>
      <w:r>
        <w:rPr>
          <w:color w:val="231F20"/>
          <w:spacing w:val="-8"/>
          <w:sz w:val="24"/>
        </w:rPr>
        <w:t> </w:t>
      </w:r>
      <w:r>
        <w:rPr>
          <w:color w:val="231F20"/>
          <w:sz w:val="24"/>
        </w:rPr>
        <w:t>event</w:t>
      </w:r>
    </w:p>
    <w:p>
      <w:pPr>
        <w:pStyle w:val="ListParagraph"/>
        <w:numPr>
          <w:ilvl w:val="1"/>
          <w:numId w:val="3"/>
        </w:numPr>
        <w:tabs>
          <w:tab w:pos="2520" w:val="left" w:leader="none"/>
          <w:tab w:pos="2521" w:val="left" w:leader="none"/>
        </w:tabs>
        <w:spacing w:line="240" w:lineRule="auto" w:before="239" w:after="0"/>
        <w:ind w:left="2520" w:right="0" w:hanging="360"/>
        <w:jc w:val="left"/>
        <w:rPr>
          <w:sz w:val="24"/>
        </w:rPr>
      </w:pPr>
      <w:r>
        <w:rPr>
          <w:color w:val="231F20"/>
          <w:sz w:val="24"/>
        </w:rPr>
        <w:t>Shared booth at Disability Services Expo with DDWA &amp;</w:t>
      </w:r>
      <w:r>
        <w:rPr>
          <w:color w:val="231F20"/>
          <w:spacing w:val="-7"/>
          <w:sz w:val="24"/>
        </w:rPr>
        <w:t> </w:t>
      </w:r>
      <w:r>
        <w:rPr>
          <w:color w:val="231F20"/>
          <w:sz w:val="24"/>
        </w:rPr>
        <w:t>EDAC</w:t>
      </w:r>
    </w:p>
    <w:p>
      <w:pPr>
        <w:pStyle w:val="ListParagraph"/>
        <w:numPr>
          <w:ilvl w:val="1"/>
          <w:numId w:val="3"/>
        </w:numPr>
        <w:tabs>
          <w:tab w:pos="2520" w:val="left" w:leader="none"/>
          <w:tab w:pos="2521" w:val="left" w:leader="none"/>
        </w:tabs>
        <w:spacing w:line="240" w:lineRule="auto" w:before="238" w:after="0"/>
        <w:ind w:left="2520" w:right="0" w:hanging="360"/>
        <w:jc w:val="left"/>
        <w:rPr>
          <w:sz w:val="24"/>
        </w:rPr>
      </w:pPr>
      <w:r>
        <w:rPr>
          <w:color w:val="231F20"/>
          <w:sz w:val="24"/>
        </w:rPr>
        <w:t>Presentation at two WAIS Isolated Families</w:t>
      </w:r>
      <w:r>
        <w:rPr>
          <w:color w:val="231F20"/>
          <w:spacing w:val="-11"/>
          <w:sz w:val="24"/>
        </w:rPr>
        <w:t> </w:t>
      </w:r>
      <w:r>
        <w:rPr>
          <w:color w:val="231F20"/>
          <w:sz w:val="24"/>
        </w:rPr>
        <w:t>Forum</w:t>
      </w:r>
    </w:p>
    <w:p>
      <w:pPr>
        <w:pStyle w:val="ListParagraph"/>
        <w:numPr>
          <w:ilvl w:val="1"/>
          <w:numId w:val="3"/>
        </w:numPr>
        <w:tabs>
          <w:tab w:pos="2520" w:val="left" w:leader="none"/>
          <w:tab w:pos="2521" w:val="left" w:leader="none"/>
        </w:tabs>
        <w:spacing w:line="273" w:lineRule="auto" w:before="239" w:after="0"/>
        <w:ind w:left="2520" w:right="1224" w:hanging="360"/>
        <w:jc w:val="left"/>
        <w:rPr>
          <w:sz w:val="24"/>
        </w:rPr>
      </w:pPr>
      <w:r>
        <w:rPr>
          <w:color w:val="231F20"/>
          <w:sz w:val="24"/>
        </w:rPr>
        <w:t>Presentation to Granny Spiers parents and carers of children with disabilities</w:t>
      </w:r>
    </w:p>
    <w:p>
      <w:pPr>
        <w:pStyle w:val="ListParagraph"/>
        <w:numPr>
          <w:ilvl w:val="1"/>
          <w:numId w:val="3"/>
        </w:numPr>
        <w:tabs>
          <w:tab w:pos="2520" w:val="left" w:leader="none"/>
          <w:tab w:pos="2521" w:val="left" w:leader="none"/>
        </w:tabs>
        <w:spacing w:line="240" w:lineRule="auto" w:before="200" w:after="0"/>
        <w:ind w:left="2520" w:right="0" w:hanging="360"/>
        <w:jc w:val="left"/>
        <w:rPr>
          <w:sz w:val="24"/>
        </w:rPr>
      </w:pPr>
      <w:r>
        <w:rPr/>
        <w:drawing>
          <wp:anchor distT="0" distB="0" distL="0" distR="0" allowOverlap="1" layoutInCell="1" locked="0" behindDoc="0" simplePos="0" relativeHeight="2680">
            <wp:simplePos x="0" y="0"/>
            <wp:positionH relativeFrom="page">
              <wp:posOffset>1671827</wp:posOffset>
            </wp:positionH>
            <wp:positionV relativeFrom="paragraph">
              <wp:posOffset>375214</wp:posOffset>
            </wp:positionV>
            <wp:extent cx="4026395" cy="3169919"/>
            <wp:effectExtent l="0" t="0" r="0" b="0"/>
            <wp:wrapNone/>
            <wp:docPr id="27" name="image25.jpeg" descr=""/>
            <wp:cNvGraphicFramePr>
              <a:graphicFrameLocks noChangeAspect="1"/>
            </wp:cNvGraphicFramePr>
            <a:graphic>
              <a:graphicData uri="http://schemas.openxmlformats.org/drawingml/2006/picture">
                <pic:pic>
                  <pic:nvPicPr>
                    <pic:cNvPr id="28" name="image25.jpeg"/>
                    <pic:cNvPicPr/>
                  </pic:nvPicPr>
                  <pic:blipFill>
                    <a:blip r:embed="rId58" cstate="print"/>
                    <a:stretch>
                      <a:fillRect/>
                    </a:stretch>
                  </pic:blipFill>
                  <pic:spPr>
                    <a:xfrm>
                      <a:off x="0" y="0"/>
                      <a:ext cx="4026395" cy="3169919"/>
                    </a:xfrm>
                    <a:prstGeom prst="rect">
                      <a:avLst/>
                    </a:prstGeom>
                  </pic:spPr>
                </pic:pic>
              </a:graphicData>
            </a:graphic>
          </wp:anchor>
        </w:drawing>
      </w:r>
      <w:r>
        <w:rPr>
          <w:color w:val="231F20"/>
          <w:sz w:val="24"/>
        </w:rPr>
        <w:t>Presentation on panel Women with Disability and</w:t>
      </w:r>
      <w:r>
        <w:rPr>
          <w:color w:val="231F20"/>
          <w:spacing w:val="-11"/>
          <w:sz w:val="24"/>
        </w:rPr>
        <w:t> </w:t>
      </w:r>
      <w:r>
        <w:rPr>
          <w:color w:val="231F20"/>
          <w:sz w:val="24"/>
        </w:rPr>
        <w:t>Governance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276" w:lineRule="auto" w:before="219"/>
        <w:ind w:left="9196" w:right="100"/>
        <w:jc w:val="both"/>
      </w:pPr>
      <w:r>
        <w:rPr>
          <w:color w:val="231F20"/>
        </w:rPr>
        <w:t>PWdWA member Trish with companion at peer</w:t>
      </w:r>
      <w:r>
        <w:rPr>
          <w:color w:val="231F20"/>
          <w:spacing w:val="-4"/>
        </w:rPr>
        <w:t> </w:t>
      </w:r>
      <w:r>
        <w:rPr>
          <w:color w:val="231F20"/>
        </w:rPr>
        <w:t>forum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93"/>
        <w:ind w:left="2546"/>
      </w:pPr>
      <w:r>
        <w:rPr>
          <w:color w:val="44536A"/>
        </w:rPr>
        <w:t>Annual Report 2014 – 2015</w:t>
      </w:r>
    </w:p>
    <w:p>
      <w:pPr>
        <w:pStyle w:val="BodyText"/>
        <w:spacing w:before="26"/>
        <w:ind w:right="1213"/>
        <w:jc w:val="right"/>
      </w:pPr>
      <w:r>
        <w:rPr>
          <w:color w:val="44536A"/>
        </w:rPr>
        <w:t>Page 29</w:t>
      </w:r>
    </w:p>
    <w:p>
      <w:pPr>
        <w:spacing w:after="0"/>
        <w:jc w:val="right"/>
        <w:sectPr>
          <w:headerReference w:type="default" r:id="rId57"/>
          <w:pgSz w:w="11910" w:h="16840"/>
          <w:pgMar w:header="0" w:footer="524" w:top="960" w:bottom="720" w:left="0" w:right="220"/>
        </w:sectPr>
      </w:pPr>
    </w:p>
    <w:p>
      <w:pPr>
        <w:pStyle w:val="BodyText"/>
        <w:rPr>
          <w:sz w:val="20"/>
        </w:rPr>
      </w:pPr>
      <w:r>
        <w:rPr/>
        <w:pict>
          <v:group style="position:absolute;margin-left:-.000014pt;margin-top:805.731079pt;width:595.35pt;height:36.2pt;mso-position-horizontal-relative:page;mso-position-vertical-relative:page;z-index:2704" coordorigin="0,16115" coordsize="11907,724">
            <v:shape style="position:absolute;left:0;top:16114;width:11907;height:724" type="#_x0000_t75" stroked="false">
              <v:imagedata r:id="rId6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6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6"/>
        <w:ind w:left="953"/>
      </w:pPr>
      <w:r>
        <w:rPr>
          <w:color w:val="231F20"/>
        </w:rPr>
        <w:t>PEOPLE WITH DISABILITIES (WA) INC</w:t>
      </w:r>
    </w:p>
    <w:p>
      <w:pPr>
        <w:pStyle w:val="BodyText"/>
        <w:rPr>
          <w:rFonts w:ascii="Calibri"/>
          <w:b/>
          <w:sz w:val="26"/>
        </w:rPr>
      </w:pPr>
    </w:p>
    <w:p>
      <w:pPr>
        <w:pStyle w:val="BodyText"/>
        <w:rPr>
          <w:rFonts w:ascii="Calibri"/>
          <w:b/>
          <w:sz w:val="26"/>
        </w:rPr>
      </w:pPr>
    </w:p>
    <w:p>
      <w:pPr>
        <w:pStyle w:val="BodyText"/>
        <w:spacing w:before="7"/>
        <w:rPr>
          <w:rFonts w:ascii="Calibri"/>
          <w:b/>
          <w:sz w:val="26"/>
        </w:rPr>
      </w:pPr>
    </w:p>
    <w:p>
      <w:pPr>
        <w:pStyle w:val="Heading2"/>
        <w:ind w:left="1018"/>
      </w:pPr>
      <w:r>
        <w:rPr>
          <w:color w:val="231F20"/>
        </w:rPr>
        <w:t>SPECIAL PURPOSE FINANCIAL STATEMENTS</w:t>
      </w:r>
    </w:p>
    <w:p>
      <w:pPr>
        <w:pStyle w:val="BodyText"/>
        <w:rPr>
          <w:rFonts w:ascii="Calibri"/>
          <w:b/>
          <w:sz w:val="26"/>
        </w:rPr>
      </w:pPr>
    </w:p>
    <w:p>
      <w:pPr>
        <w:pStyle w:val="BodyText"/>
        <w:rPr>
          <w:rFonts w:ascii="Calibri"/>
          <w:b/>
          <w:sz w:val="26"/>
        </w:rPr>
      </w:pPr>
    </w:p>
    <w:p>
      <w:pPr>
        <w:pStyle w:val="BodyText"/>
        <w:spacing w:before="7"/>
        <w:rPr>
          <w:rFonts w:ascii="Calibri"/>
          <w:b/>
          <w:sz w:val="26"/>
        </w:rPr>
      </w:pPr>
    </w:p>
    <w:p>
      <w:pPr>
        <w:pStyle w:val="Heading2"/>
        <w:spacing w:before="1"/>
      </w:pPr>
      <w:r>
        <w:rPr>
          <w:color w:val="231F20"/>
        </w:rPr>
        <w:t>FOR THE YEAR ENDED</w:t>
      </w:r>
    </w:p>
    <w:p>
      <w:pPr>
        <w:pStyle w:val="BodyText"/>
        <w:rPr>
          <w:rFonts w:ascii="Calibri"/>
          <w:b/>
          <w:sz w:val="26"/>
        </w:rPr>
      </w:pPr>
    </w:p>
    <w:p>
      <w:pPr>
        <w:pStyle w:val="BodyText"/>
        <w:spacing w:before="5"/>
        <w:rPr>
          <w:rFonts w:ascii="Calibri"/>
          <w:b/>
          <w:sz w:val="26"/>
        </w:rPr>
      </w:pPr>
    </w:p>
    <w:p>
      <w:pPr>
        <w:pStyle w:val="Heading2"/>
        <w:ind w:left="1916" w:right="1492"/>
      </w:pPr>
      <w:r>
        <w:rPr>
          <w:color w:val="231F20"/>
        </w:rPr>
        <w:t>30 June 2015</w:t>
      </w:r>
    </w:p>
    <w:p>
      <w:pPr>
        <w:spacing w:after="0"/>
        <w:sectPr>
          <w:headerReference w:type="default" r:id="rId59"/>
          <w:footerReference w:type="default" r:id="rId60"/>
          <w:pgSz w:w="11910" w:h="16840"/>
          <w:pgMar w:header="0" w:footer="0" w:top="960" w:bottom="0" w:left="0" w:right="22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19"/>
        </w:rPr>
      </w:pPr>
    </w:p>
    <w:p>
      <w:pPr>
        <w:spacing w:before="93"/>
        <w:ind w:left="421" w:right="0" w:firstLine="0"/>
        <w:jc w:val="center"/>
        <w:rPr>
          <w:sz w:val="19"/>
        </w:rPr>
      </w:pPr>
      <w:r>
        <w:rPr>
          <w:color w:val="231F20"/>
          <w:sz w:val="19"/>
          <w:u w:val="single" w:color="231F20"/>
        </w:rPr>
        <w:t>PEOPLE WITH DISABILITIES (WA) INC</w:t>
      </w:r>
    </w:p>
    <w:p>
      <w:pPr>
        <w:pStyle w:val="BodyText"/>
        <w:rPr>
          <w:sz w:val="20"/>
        </w:rPr>
      </w:pPr>
    </w:p>
    <w:p>
      <w:pPr>
        <w:pStyle w:val="BodyText"/>
        <w:rPr>
          <w:sz w:val="20"/>
        </w:rPr>
      </w:pPr>
    </w:p>
    <w:p>
      <w:pPr>
        <w:pStyle w:val="BodyText"/>
        <w:spacing w:before="9"/>
        <w:rPr>
          <w:sz w:val="22"/>
        </w:rPr>
      </w:pPr>
    </w:p>
    <w:p>
      <w:pPr>
        <w:spacing w:before="1"/>
        <w:ind w:left="3809" w:right="0" w:firstLine="0"/>
        <w:jc w:val="left"/>
        <w:rPr>
          <w:sz w:val="19"/>
        </w:rPr>
      </w:pPr>
      <w:r>
        <w:rPr>
          <w:color w:val="231F20"/>
          <w:sz w:val="19"/>
          <w:u w:val="single" w:color="231F20"/>
        </w:rPr>
        <w:t>FINANCIAL STATEMENTS FOR THE YEAR ENDED</w:t>
      </w:r>
    </w:p>
    <w:p>
      <w:pPr>
        <w:pStyle w:val="BodyText"/>
        <w:rPr>
          <w:sz w:val="20"/>
        </w:rPr>
      </w:pPr>
    </w:p>
    <w:p>
      <w:pPr>
        <w:pStyle w:val="BodyText"/>
        <w:spacing w:before="4"/>
        <w:rPr>
          <w:sz w:val="22"/>
        </w:rPr>
      </w:pPr>
    </w:p>
    <w:p>
      <w:pPr>
        <w:spacing w:before="0"/>
        <w:ind w:left="1916" w:right="1497" w:firstLine="0"/>
        <w:jc w:val="center"/>
        <w:rPr>
          <w:sz w:val="19"/>
        </w:rPr>
      </w:pPr>
      <w:r>
        <w:rPr>
          <w:color w:val="231F20"/>
          <w:sz w:val="19"/>
          <w:u w:val="single" w:color="231F20"/>
        </w:rPr>
        <w:t>30 June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94"/>
        <w:ind w:left="3662" w:right="0" w:firstLine="0"/>
        <w:jc w:val="left"/>
        <w:rPr>
          <w:sz w:val="19"/>
        </w:rPr>
      </w:pPr>
      <w:r>
        <w:rPr>
          <w:color w:val="231F20"/>
          <w:sz w:val="19"/>
          <w:u w:val="single" w:color="231F20"/>
        </w:rPr>
        <w:t>INDEX</w:t>
      </w:r>
    </w:p>
    <w:p>
      <w:pPr>
        <w:pStyle w:val="BodyText"/>
        <w:rPr>
          <w:sz w:val="20"/>
        </w:rPr>
      </w:pPr>
    </w:p>
    <w:p>
      <w:pPr>
        <w:pStyle w:val="BodyText"/>
        <w:spacing w:before="4"/>
        <w:rPr>
          <w:sz w:val="22"/>
        </w:rPr>
      </w:pPr>
    </w:p>
    <w:p>
      <w:pPr>
        <w:pStyle w:val="ListParagraph"/>
        <w:numPr>
          <w:ilvl w:val="0"/>
          <w:numId w:val="4"/>
        </w:numPr>
        <w:tabs>
          <w:tab w:pos="3302" w:val="left" w:leader="none"/>
          <w:tab w:pos="3303" w:val="left" w:leader="none"/>
        </w:tabs>
        <w:spacing w:line="240" w:lineRule="auto" w:before="0" w:after="0"/>
        <w:ind w:left="3302" w:right="0" w:hanging="597"/>
        <w:jc w:val="left"/>
        <w:rPr>
          <w:sz w:val="19"/>
        </w:rPr>
      </w:pPr>
      <w:r>
        <w:rPr>
          <w:color w:val="231F20"/>
          <w:sz w:val="19"/>
        </w:rPr>
        <w:t>Auditor's</w:t>
      </w:r>
      <w:r>
        <w:rPr>
          <w:color w:val="231F20"/>
          <w:spacing w:val="-1"/>
          <w:sz w:val="19"/>
        </w:rPr>
        <w:t> </w:t>
      </w:r>
      <w:r>
        <w:rPr>
          <w:color w:val="231F20"/>
          <w:sz w:val="19"/>
        </w:rPr>
        <w:t>Report</w:t>
      </w:r>
    </w:p>
    <w:p>
      <w:pPr>
        <w:pStyle w:val="BodyText"/>
        <w:spacing w:before="10"/>
        <w:rPr>
          <w:sz w:val="21"/>
        </w:rPr>
      </w:pPr>
    </w:p>
    <w:p>
      <w:pPr>
        <w:pStyle w:val="ListParagraph"/>
        <w:numPr>
          <w:ilvl w:val="0"/>
          <w:numId w:val="4"/>
        </w:numPr>
        <w:tabs>
          <w:tab w:pos="3302" w:val="left" w:leader="none"/>
          <w:tab w:pos="3303" w:val="left" w:leader="none"/>
        </w:tabs>
        <w:spacing w:line="240" w:lineRule="auto" w:before="1" w:after="0"/>
        <w:ind w:left="3302" w:right="0" w:hanging="597"/>
        <w:jc w:val="left"/>
        <w:rPr>
          <w:sz w:val="19"/>
        </w:rPr>
      </w:pPr>
      <w:r>
        <w:rPr>
          <w:color w:val="231F20"/>
          <w:sz w:val="19"/>
        </w:rPr>
        <w:t>Statement by</w:t>
      </w:r>
      <w:r>
        <w:rPr>
          <w:color w:val="231F20"/>
          <w:spacing w:val="-4"/>
          <w:sz w:val="19"/>
        </w:rPr>
        <w:t> </w:t>
      </w:r>
      <w:r>
        <w:rPr>
          <w:color w:val="231F20"/>
          <w:sz w:val="19"/>
        </w:rPr>
        <w:t>President</w:t>
      </w:r>
    </w:p>
    <w:p>
      <w:pPr>
        <w:pStyle w:val="BodyText"/>
        <w:spacing w:before="10"/>
        <w:rPr>
          <w:sz w:val="21"/>
        </w:rPr>
      </w:pPr>
    </w:p>
    <w:p>
      <w:pPr>
        <w:pStyle w:val="ListParagraph"/>
        <w:numPr>
          <w:ilvl w:val="0"/>
          <w:numId w:val="4"/>
        </w:numPr>
        <w:tabs>
          <w:tab w:pos="3302" w:val="left" w:leader="none"/>
          <w:tab w:pos="3303" w:val="left" w:leader="none"/>
        </w:tabs>
        <w:spacing w:line="240" w:lineRule="auto" w:before="0" w:after="0"/>
        <w:ind w:left="3302" w:right="0" w:hanging="597"/>
        <w:jc w:val="left"/>
        <w:rPr>
          <w:sz w:val="19"/>
        </w:rPr>
      </w:pPr>
      <w:r>
        <w:rPr>
          <w:color w:val="231F20"/>
          <w:sz w:val="19"/>
        </w:rPr>
        <w:t>Income</w:t>
      </w:r>
      <w:r>
        <w:rPr>
          <w:color w:val="231F20"/>
          <w:spacing w:val="-2"/>
          <w:sz w:val="19"/>
        </w:rPr>
        <w:t> </w:t>
      </w:r>
      <w:r>
        <w:rPr>
          <w:color w:val="231F20"/>
          <w:sz w:val="19"/>
        </w:rPr>
        <w:t>Statement</w:t>
      </w:r>
    </w:p>
    <w:p>
      <w:pPr>
        <w:pStyle w:val="BodyText"/>
        <w:spacing w:before="10"/>
        <w:rPr>
          <w:sz w:val="21"/>
        </w:rPr>
      </w:pPr>
    </w:p>
    <w:p>
      <w:pPr>
        <w:pStyle w:val="ListParagraph"/>
        <w:numPr>
          <w:ilvl w:val="0"/>
          <w:numId w:val="4"/>
        </w:numPr>
        <w:tabs>
          <w:tab w:pos="3302" w:val="left" w:leader="none"/>
          <w:tab w:pos="3303" w:val="left" w:leader="none"/>
        </w:tabs>
        <w:spacing w:line="240" w:lineRule="auto" w:before="0" w:after="0"/>
        <w:ind w:left="3302" w:right="0" w:hanging="597"/>
        <w:jc w:val="left"/>
        <w:rPr>
          <w:sz w:val="19"/>
        </w:rPr>
      </w:pPr>
      <w:r>
        <w:rPr>
          <w:color w:val="231F20"/>
          <w:sz w:val="19"/>
        </w:rPr>
        <w:t>Balance</w:t>
      </w:r>
      <w:r>
        <w:rPr>
          <w:color w:val="231F20"/>
          <w:spacing w:val="-2"/>
          <w:sz w:val="19"/>
        </w:rPr>
        <w:t> </w:t>
      </w:r>
      <w:r>
        <w:rPr>
          <w:color w:val="231F20"/>
          <w:sz w:val="19"/>
        </w:rPr>
        <w:t>Sheet</w:t>
      </w:r>
    </w:p>
    <w:p>
      <w:pPr>
        <w:pStyle w:val="BodyText"/>
        <w:rPr>
          <w:sz w:val="22"/>
        </w:rPr>
      </w:pPr>
    </w:p>
    <w:p>
      <w:pPr>
        <w:pStyle w:val="ListParagraph"/>
        <w:numPr>
          <w:ilvl w:val="0"/>
          <w:numId w:val="4"/>
        </w:numPr>
        <w:tabs>
          <w:tab w:pos="3302" w:val="left" w:leader="none"/>
          <w:tab w:pos="3303" w:val="left" w:leader="none"/>
        </w:tabs>
        <w:spacing w:line="240" w:lineRule="auto" w:before="0" w:after="0"/>
        <w:ind w:left="3302" w:right="0" w:hanging="597"/>
        <w:jc w:val="left"/>
        <w:rPr>
          <w:sz w:val="19"/>
        </w:rPr>
      </w:pPr>
      <w:r>
        <w:rPr>
          <w:color w:val="231F20"/>
          <w:sz w:val="19"/>
        </w:rPr>
        <w:t>Statement of Cashflows</w:t>
      </w:r>
    </w:p>
    <w:p>
      <w:pPr>
        <w:pStyle w:val="BodyText"/>
        <w:spacing w:before="10"/>
        <w:rPr>
          <w:sz w:val="21"/>
        </w:rPr>
      </w:pPr>
    </w:p>
    <w:p>
      <w:pPr>
        <w:pStyle w:val="ListParagraph"/>
        <w:numPr>
          <w:ilvl w:val="0"/>
          <w:numId w:val="4"/>
        </w:numPr>
        <w:tabs>
          <w:tab w:pos="3302" w:val="left" w:leader="none"/>
          <w:tab w:pos="3303" w:val="left" w:leader="none"/>
        </w:tabs>
        <w:spacing w:line="259" w:lineRule="auto" w:before="0" w:after="0"/>
        <w:ind w:left="3302" w:right="4895" w:hanging="597"/>
        <w:jc w:val="left"/>
        <w:rPr>
          <w:sz w:val="19"/>
        </w:rPr>
      </w:pPr>
      <w:r>
        <w:rPr>
          <w:color w:val="231F20"/>
          <w:sz w:val="19"/>
        </w:rPr>
        <w:t>Notes to and forming part of the accounts Notes 1 -</w:t>
      </w:r>
      <w:r>
        <w:rPr>
          <w:color w:val="231F20"/>
          <w:spacing w:val="-2"/>
          <w:sz w:val="19"/>
        </w:rPr>
        <w:t> </w:t>
      </w:r>
      <w:r>
        <w:rPr>
          <w:color w:val="231F20"/>
          <w:sz w:val="19"/>
        </w:rPr>
        <w:t>10</w:t>
      </w:r>
    </w:p>
    <w:p>
      <w:pPr>
        <w:spacing w:after="0" w:line="259" w:lineRule="auto"/>
        <w:jc w:val="left"/>
        <w:rPr>
          <w:sz w:val="19"/>
        </w:rPr>
        <w:sectPr>
          <w:footerReference w:type="default" r:id="rId63"/>
          <w:pgSz w:w="11910" w:h="16840"/>
          <w:pgMar w:footer="524" w:header="0" w:top="960" w:bottom="720" w:left="0" w:right="220"/>
        </w:sectPr>
      </w:pPr>
    </w:p>
    <w:p>
      <w:pPr>
        <w:pStyle w:val="BodyText"/>
        <w:spacing w:before="4"/>
        <w:rPr>
          <w:rFonts w:ascii="Times New Roman"/>
          <w:sz w:val="17"/>
        </w:rPr>
      </w:pPr>
      <w:r>
        <w:rPr/>
        <w:pict>
          <v:group style="position:absolute;margin-left:-.000014pt;margin-top:0pt;width:595.35pt;height:841.95pt;mso-position-horizontal-relative:page;mso-position-vertical-relative:page;z-index:2728" coordorigin="0,0" coordsize="11907,16839">
            <v:shape style="position:absolute;left:428;top:566;width:10987;height:15682" type="#_x0000_t75" stroked="false">
              <v:imagedata r:id="rId66" o:title=""/>
            </v:shape>
            <v:shape style="position:absolute;left:0;top:16114;width:11907;height:724" type="#_x0000_t75" stroked="false">
              <v:imagedata r:id="rId6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67" o:title=""/>
            </v:shape>
            <v:shape style="position:absolute;left:0;top:0;width:11907;height:976" type="#_x0000_t75" stroked="false">
              <v:imagedata r:id="rId68" o:title=""/>
            </v:shape>
            <v:shape style="position:absolute;left:0;top:558;width:11907;height:378" coordorigin="0,559" coordsize="11907,378" path="m9427,559l0,937,11906,672,11045,572,9427,559xe" filled="true" fillcolor="#ffffff" stroked="false">
              <v:path arrowok="t"/>
              <v:fill type="solid"/>
            </v:shape>
            <w10:wrap type="none"/>
          </v:group>
        </w:pict>
      </w:r>
    </w:p>
    <w:p>
      <w:pPr>
        <w:spacing w:after="0"/>
        <w:rPr>
          <w:rFonts w:ascii="Times New Roman"/>
          <w:sz w:val="17"/>
        </w:rPr>
        <w:sectPr>
          <w:headerReference w:type="default" r:id="rId64"/>
          <w:footerReference w:type="default" r:id="rId65"/>
          <w:pgSz w:w="11910" w:h="16840"/>
          <w:pgMar w:header="0" w:footer="0" w:top="1580" w:bottom="280" w:left="0" w:right="220"/>
        </w:sectPr>
      </w:pPr>
    </w:p>
    <w:p>
      <w:pPr>
        <w:pStyle w:val="BodyText"/>
        <w:spacing w:before="4"/>
        <w:rPr>
          <w:rFonts w:ascii="Times New Roman"/>
          <w:sz w:val="17"/>
        </w:rPr>
      </w:pPr>
      <w:r>
        <w:rPr/>
        <w:pict>
          <v:group style="position:absolute;margin-left:-.000014pt;margin-top:0pt;width:595.35pt;height:803.45pt;mso-position-horizontal-relative:page;mso-position-vertical-relative:page;z-index:2752" coordorigin="0,0" coordsize="11907,16069">
            <v:shape style="position:absolute;left:414;top:566;width:10639;height:15502" type="#_x0000_t75" stroked="false">
              <v:imagedata r:id="rId71" o:title=""/>
            </v:shape>
            <v:shape style="position:absolute;left:0;top:0;width:11907;height:976" type="#_x0000_t75" stroked="false">
              <v:imagedata r:id="rId68" o:title=""/>
            </v:shape>
            <v:shape style="position:absolute;left:0;top:558;width:11907;height:378" coordorigin="0,559" coordsize="11907,378" path="m9427,559l0,937,11906,672,11045,572,9427,559xe" filled="true" fillcolor="#ffffff" stroked="false">
              <v:path arrowok="t"/>
              <v:fill type="solid"/>
            </v:shape>
            <w10:wrap type="none"/>
          </v:group>
        </w:pict>
      </w:r>
    </w:p>
    <w:p>
      <w:pPr>
        <w:spacing w:after="0"/>
        <w:rPr>
          <w:rFonts w:ascii="Times New Roman"/>
          <w:sz w:val="17"/>
        </w:rPr>
        <w:sectPr>
          <w:headerReference w:type="default" r:id="rId69"/>
          <w:footerReference w:type="default" r:id="rId70"/>
          <w:pgSz w:w="11910" w:h="16840"/>
          <w:pgMar w:header="0" w:footer="490" w:top="1580" w:bottom="680" w:left="0" w:right="22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spacing w:before="93"/>
        <w:ind w:left="421" w:right="0" w:firstLine="0"/>
        <w:jc w:val="center"/>
        <w:rPr>
          <w:sz w:val="19"/>
        </w:rPr>
      </w:pPr>
      <w:r>
        <w:rPr>
          <w:color w:val="231F20"/>
          <w:sz w:val="19"/>
          <w:u w:val="single" w:color="231F20"/>
        </w:rPr>
        <w:t>PEOPLE WITH DISABILITIES (WA) INC</w:t>
      </w:r>
    </w:p>
    <w:p>
      <w:pPr>
        <w:pStyle w:val="BodyText"/>
        <w:rPr>
          <w:sz w:val="20"/>
        </w:rPr>
      </w:pPr>
    </w:p>
    <w:p>
      <w:pPr>
        <w:pStyle w:val="BodyText"/>
        <w:rPr>
          <w:sz w:val="20"/>
        </w:rPr>
      </w:pPr>
    </w:p>
    <w:p>
      <w:pPr>
        <w:pStyle w:val="BodyText"/>
        <w:spacing w:before="9"/>
        <w:rPr>
          <w:sz w:val="22"/>
        </w:rPr>
      </w:pPr>
    </w:p>
    <w:p>
      <w:pPr>
        <w:spacing w:before="1"/>
        <w:ind w:left="420" w:right="0" w:firstLine="0"/>
        <w:jc w:val="center"/>
        <w:rPr>
          <w:sz w:val="19"/>
        </w:rPr>
      </w:pPr>
      <w:r>
        <w:rPr>
          <w:color w:val="231F20"/>
          <w:sz w:val="19"/>
          <w:u w:val="single" w:color="231F20"/>
        </w:rPr>
        <w:t>STATEMENT BY PRESIDENT</w:t>
      </w:r>
    </w:p>
    <w:p>
      <w:pPr>
        <w:pStyle w:val="BodyText"/>
        <w:rPr>
          <w:sz w:val="20"/>
        </w:rPr>
      </w:pPr>
    </w:p>
    <w:p>
      <w:pPr>
        <w:pStyle w:val="BodyText"/>
        <w:spacing w:before="4"/>
        <w:rPr>
          <w:sz w:val="22"/>
        </w:rPr>
      </w:pPr>
    </w:p>
    <w:p>
      <w:pPr>
        <w:spacing w:before="0"/>
        <w:ind w:left="421" w:right="0" w:firstLine="0"/>
        <w:jc w:val="center"/>
        <w:rPr>
          <w:sz w:val="19"/>
        </w:rPr>
      </w:pPr>
      <w:r>
        <w:rPr>
          <w:color w:val="231F20"/>
          <w:sz w:val="19"/>
          <w:u w:val="single" w:color="231F20"/>
        </w:rPr>
        <w:t>For The Year Ended 30 June 2015</w:t>
      </w:r>
    </w:p>
    <w:p>
      <w:pPr>
        <w:pStyle w:val="BodyText"/>
        <w:rPr>
          <w:sz w:val="20"/>
        </w:rPr>
      </w:pPr>
    </w:p>
    <w:p>
      <w:pPr>
        <w:pStyle w:val="BodyText"/>
        <w:rPr>
          <w:sz w:val="20"/>
        </w:rPr>
      </w:pPr>
    </w:p>
    <w:p>
      <w:pPr>
        <w:pStyle w:val="BodyText"/>
        <w:rPr>
          <w:sz w:val="20"/>
        </w:rPr>
      </w:pPr>
    </w:p>
    <w:p>
      <w:pPr>
        <w:pStyle w:val="BodyText"/>
        <w:rPr>
          <w:sz w:val="16"/>
        </w:rPr>
      </w:pPr>
    </w:p>
    <w:p>
      <w:pPr>
        <w:spacing w:before="94"/>
        <w:ind w:left="1531" w:right="0" w:firstLine="0"/>
        <w:jc w:val="left"/>
        <w:rPr>
          <w:sz w:val="19"/>
        </w:rPr>
      </w:pPr>
      <w:r>
        <w:rPr>
          <w:color w:val="231F20"/>
          <w:sz w:val="19"/>
        </w:rPr>
        <w:t>The Board of Management declare that:</w:t>
      </w:r>
    </w:p>
    <w:p>
      <w:pPr>
        <w:pStyle w:val="BodyText"/>
        <w:spacing w:before="10"/>
        <w:rPr>
          <w:sz w:val="21"/>
        </w:rPr>
      </w:pPr>
    </w:p>
    <w:p>
      <w:pPr>
        <w:pStyle w:val="ListParagraph"/>
        <w:numPr>
          <w:ilvl w:val="0"/>
          <w:numId w:val="5"/>
        </w:numPr>
        <w:tabs>
          <w:tab w:pos="3302" w:val="left" w:leader="none"/>
          <w:tab w:pos="3303" w:val="left" w:leader="none"/>
        </w:tabs>
        <w:spacing w:line="259" w:lineRule="auto" w:before="0" w:after="0"/>
        <w:ind w:left="3302" w:right="1989" w:hanging="660"/>
        <w:jc w:val="left"/>
        <w:rPr>
          <w:sz w:val="19"/>
        </w:rPr>
      </w:pPr>
      <w:r>
        <w:rPr>
          <w:color w:val="231F20"/>
          <w:sz w:val="19"/>
        </w:rPr>
        <w:t>The attached financial statements and notes thereto comply with accounting standards</w:t>
      </w:r>
    </w:p>
    <w:p>
      <w:pPr>
        <w:pStyle w:val="BodyText"/>
        <w:spacing w:before="3"/>
        <w:rPr>
          <w:sz w:val="20"/>
        </w:rPr>
      </w:pPr>
    </w:p>
    <w:p>
      <w:pPr>
        <w:pStyle w:val="ListParagraph"/>
        <w:numPr>
          <w:ilvl w:val="0"/>
          <w:numId w:val="5"/>
        </w:numPr>
        <w:tabs>
          <w:tab w:pos="3303" w:val="left" w:leader="none"/>
        </w:tabs>
        <w:spacing w:line="259" w:lineRule="auto" w:before="1" w:after="0"/>
        <w:ind w:left="3302" w:right="1737" w:hanging="660"/>
        <w:jc w:val="both"/>
        <w:rPr>
          <w:sz w:val="19"/>
        </w:rPr>
      </w:pPr>
      <w:r>
        <w:rPr>
          <w:color w:val="231F20"/>
          <w:sz w:val="19"/>
        </w:rPr>
        <w:t>The attached financial statements and notes thereto give a true and fair view of the financial position and performance of the association;</w:t>
      </w:r>
      <w:r>
        <w:rPr>
          <w:color w:val="231F20"/>
          <w:spacing w:val="-8"/>
          <w:sz w:val="19"/>
        </w:rPr>
        <w:t> </w:t>
      </w:r>
      <w:r>
        <w:rPr>
          <w:color w:val="231F20"/>
          <w:sz w:val="19"/>
        </w:rPr>
        <w:t>and</w:t>
      </w:r>
    </w:p>
    <w:p>
      <w:pPr>
        <w:pStyle w:val="BodyText"/>
        <w:spacing w:before="3"/>
        <w:rPr>
          <w:sz w:val="20"/>
        </w:rPr>
      </w:pPr>
    </w:p>
    <w:p>
      <w:pPr>
        <w:pStyle w:val="ListParagraph"/>
        <w:numPr>
          <w:ilvl w:val="0"/>
          <w:numId w:val="5"/>
        </w:numPr>
        <w:tabs>
          <w:tab w:pos="3303" w:val="left" w:leader="none"/>
        </w:tabs>
        <w:spacing w:line="259" w:lineRule="auto" w:before="0" w:after="0"/>
        <w:ind w:left="3302" w:right="1720" w:hanging="650"/>
        <w:jc w:val="both"/>
        <w:rPr>
          <w:sz w:val="19"/>
        </w:rPr>
      </w:pPr>
      <w:r>
        <w:rPr>
          <w:color w:val="231F20"/>
          <w:sz w:val="19"/>
        </w:rPr>
        <w:t>In</w:t>
      </w:r>
      <w:r>
        <w:rPr>
          <w:color w:val="231F20"/>
          <w:spacing w:val="-5"/>
          <w:sz w:val="19"/>
        </w:rPr>
        <w:t> </w:t>
      </w:r>
      <w:r>
        <w:rPr>
          <w:color w:val="231F20"/>
          <w:sz w:val="19"/>
        </w:rPr>
        <w:t>the</w:t>
      </w:r>
      <w:r>
        <w:rPr>
          <w:color w:val="231F20"/>
          <w:spacing w:val="-5"/>
          <w:sz w:val="19"/>
        </w:rPr>
        <w:t> </w:t>
      </w:r>
      <w:r>
        <w:rPr>
          <w:color w:val="231F20"/>
          <w:sz w:val="19"/>
        </w:rPr>
        <w:t>Board</w:t>
      </w:r>
      <w:r>
        <w:rPr>
          <w:color w:val="231F20"/>
          <w:spacing w:val="-6"/>
          <w:sz w:val="19"/>
        </w:rPr>
        <w:t> </w:t>
      </w:r>
      <w:r>
        <w:rPr>
          <w:color w:val="231F20"/>
          <w:sz w:val="19"/>
        </w:rPr>
        <w:t>of</w:t>
      </w:r>
      <w:r>
        <w:rPr>
          <w:color w:val="231F20"/>
          <w:spacing w:val="-3"/>
          <w:sz w:val="19"/>
        </w:rPr>
        <w:t> </w:t>
      </w:r>
      <w:r>
        <w:rPr>
          <w:color w:val="231F20"/>
          <w:sz w:val="19"/>
        </w:rPr>
        <w:t>Management's</w:t>
      </w:r>
      <w:r>
        <w:rPr>
          <w:color w:val="231F20"/>
          <w:spacing w:val="-5"/>
          <w:sz w:val="19"/>
        </w:rPr>
        <w:t> </w:t>
      </w:r>
      <w:r>
        <w:rPr>
          <w:color w:val="231F20"/>
          <w:sz w:val="19"/>
        </w:rPr>
        <w:t>opinion,</w:t>
      </w:r>
      <w:r>
        <w:rPr>
          <w:color w:val="231F20"/>
          <w:spacing w:val="-6"/>
          <w:sz w:val="19"/>
        </w:rPr>
        <w:t> </w:t>
      </w:r>
      <w:r>
        <w:rPr>
          <w:color w:val="231F20"/>
          <w:sz w:val="19"/>
        </w:rPr>
        <w:t>there</w:t>
      </w:r>
      <w:r>
        <w:rPr>
          <w:color w:val="231F20"/>
          <w:spacing w:val="-5"/>
          <w:sz w:val="19"/>
        </w:rPr>
        <w:t> </w:t>
      </w:r>
      <w:r>
        <w:rPr>
          <w:color w:val="231F20"/>
          <w:sz w:val="19"/>
        </w:rPr>
        <w:t>are</w:t>
      </w:r>
      <w:r>
        <w:rPr>
          <w:color w:val="231F20"/>
          <w:spacing w:val="-6"/>
          <w:sz w:val="19"/>
        </w:rPr>
        <w:t> </w:t>
      </w:r>
      <w:r>
        <w:rPr>
          <w:color w:val="231F20"/>
          <w:sz w:val="19"/>
        </w:rPr>
        <w:t>reasonable</w:t>
      </w:r>
      <w:r>
        <w:rPr>
          <w:color w:val="231F20"/>
          <w:spacing w:val="-6"/>
          <w:sz w:val="19"/>
        </w:rPr>
        <w:t> </w:t>
      </w:r>
      <w:r>
        <w:rPr>
          <w:color w:val="231F20"/>
          <w:sz w:val="19"/>
        </w:rPr>
        <w:t>grounds</w:t>
      </w:r>
      <w:r>
        <w:rPr>
          <w:color w:val="231F20"/>
          <w:spacing w:val="-4"/>
          <w:sz w:val="19"/>
        </w:rPr>
        <w:t> </w:t>
      </w:r>
      <w:r>
        <w:rPr>
          <w:color w:val="231F20"/>
          <w:sz w:val="19"/>
        </w:rPr>
        <w:t>to</w:t>
      </w:r>
      <w:r>
        <w:rPr>
          <w:color w:val="231F20"/>
          <w:spacing w:val="-5"/>
          <w:sz w:val="19"/>
        </w:rPr>
        <w:t> </w:t>
      </w:r>
      <w:r>
        <w:rPr>
          <w:color w:val="231F20"/>
          <w:sz w:val="19"/>
        </w:rPr>
        <w:t>believe that the Association will be able to pay its debts as and when they become due and</w:t>
      </w:r>
      <w:r>
        <w:rPr>
          <w:color w:val="231F20"/>
          <w:spacing w:val="-1"/>
          <w:sz w:val="19"/>
        </w:rPr>
        <w:t> </w:t>
      </w:r>
      <w:r>
        <w:rPr>
          <w:color w:val="231F20"/>
          <w:sz w:val="19"/>
        </w:rPr>
        <w:t>payable.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1"/>
        <w:ind w:left="1531" w:right="0" w:firstLine="0"/>
        <w:jc w:val="left"/>
        <w:rPr>
          <w:sz w:val="19"/>
        </w:rPr>
      </w:pPr>
      <w:r>
        <w:rPr>
          <w:color w:val="231F20"/>
          <w:sz w:val="19"/>
        </w:rPr>
        <w:t>Signed on behalf of the Board of Management</w:t>
      </w:r>
    </w:p>
    <w:p>
      <w:pPr>
        <w:pStyle w:val="BodyText"/>
        <w:spacing w:before="8"/>
        <w:rPr>
          <w:sz w:val="22"/>
        </w:rPr>
      </w:pPr>
      <w:r>
        <w:rPr/>
        <w:drawing>
          <wp:anchor distT="0" distB="0" distL="0" distR="0" allowOverlap="1" layoutInCell="1" locked="0" behindDoc="0" simplePos="0" relativeHeight="2776">
            <wp:simplePos x="0" y="0"/>
            <wp:positionH relativeFrom="page">
              <wp:posOffset>988750</wp:posOffset>
            </wp:positionH>
            <wp:positionV relativeFrom="paragraph">
              <wp:posOffset>191086</wp:posOffset>
            </wp:positionV>
            <wp:extent cx="1160198" cy="340042"/>
            <wp:effectExtent l="0" t="0" r="0" b="0"/>
            <wp:wrapTopAndBottom/>
            <wp:docPr id="29" name="image33.jpeg" descr=""/>
            <wp:cNvGraphicFramePr>
              <a:graphicFrameLocks noChangeAspect="1"/>
            </wp:cNvGraphicFramePr>
            <a:graphic>
              <a:graphicData uri="http://schemas.openxmlformats.org/drawingml/2006/picture">
                <pic:pic>
                  <pic:nvPicPr>
                    <pic:cNvPr id="30" name="image33.jpeg"/>
                    <pic:cNvPicPr/>
                  </pic:nvPicPr>
                  <pic:blipFill>
                    <a:blip r:embed="rId73" cstate="print"/>
                    <a:stretch>
                      <a:fillRect/>
                    </a:stretch>
                  </pic:blipFill>
                  <pic:spPr>
                    <a:xfrm>
                      <a:off x="0" y="0"/>
                      <a:ext cx="1160198" cy="340042"/>
                    </a:xfrm>
                    <a:prstGeom prst="rect">
                      <a:avLst/>
                    </a:prstGeom>
                  </pic:spPr>
                </pic:pic>
              </a:graphicData>
            </a:graphic>
          </wp:anchor>
        </w:drawing>
      </w:r>
    </w:p>
    <w:p>
      <w:pPr>
        <w:pStyle w:val="BodyText"/>
        <w:spacing w:before="5"/>
        <w:rPr>
          <w:sz w:val="28"/>
        </w:rPr>
      </w:pPr>
    </w:p>
    <w:p>
      <w:pPr>
        <w:spacing w:line="259" w:lineRule="auto" w:before="0"/>
        <w:ind w:left="1531" w:right="7961" w:firstLine="0"/>
        <w:jc w:val="left"/>
        <w:rPr>
          <w:sz w:val="19"/>
        </w:rPr>
      </w:pPr>
      <w:r>
        <w:rPr>
          <w:color w:val="231F20"/>
          <w:sz w:val="19"/>
        </w:rPr>
        <w:t>Gregory Madson President</w:t>
      </w:r>
    </w:p>
    <w:p>
      <w:pPr>
        <w:pStyle w:val="BodyText"/>
        <w:rPr>
          <w:sz w:val="20"/>
        </w:rPr>
      </w:pPr>
    </w:p>
    <w:p>
      <w:pPr>
        <w:pStyle w:val="BodyText"/>
        <w:rPr>
          <w:sz w:val="20"/>
        </w:rPr>
      </w:pPr>
    </w:p>
    <w:p>
      <w:pPr>
        <w:pStyle w:val="BodyText"/>
        <w:rPr>
          <w:sz w:val="20"/>
        </w:rPr>
      </w:pPr>
    </w:p>
    <w:p>
      <w:pPr>
        <w:pStyle w:val="BodyText"/>
        <w:spacing w:before="8"/>
        <w:rPr>
          <w:sz w:val="21"/>
        </w:rPr>
      </w:pPr>
    </w:p>
    <w:p>
      <w:pPr>
        <w:spacing w:before="0"/>
        <w:ind w:left="1531" w:right="0" w:firstLine="0"/>
        <w:jc w:val="left"/>
        <w:rPr>
          <w:sz w:val="19"/>
        </w:rPr>
      </w:pPr>
      <w:r>
        <w:rPr>
          <w:color w:val="231F20"/>
          <w:sz w:val="19"/>
        </w:rPr>
        <w:t>Date: 02 September 2015</w:t>
      </w:r>
    </w:p>
    <w:p>
      <w:pPr>
        <w:pStyle w:val="BodyText"/>
        <w:rPr>
          <w:sz w:val="20"/>
        </w:rPr>
      </w:pPr>
    </w:p>
    <w:p>
      <w:pPr>
        <w:pStyle w:val="BodyText"/>
        <w:spacing w:before="4"/>
        <w:rPr>
          <w:sz w:val="22"/>
        </w:rPr>
      </w:pPr>
    </w:p>
    <w:p>
      <w:pPr>
        <w:spacing w:before="0"/>
        <w:ind w:left="1531" w:right="0" w:firstLine="0"/>
        <w:jc w:val="left"/>
        <w:rPr>
          <w:sz w:val="19"/>
        </w:rPr>
      </w:pPr>
      <w:r>
        <w:rPr>
          <w:color w:val="231F20"/>
          <w:sz w:val="19"/>
        </w:rPr>
        <w:t>PERTH, WA</w:t>
      </w:r>
    </w:p>
    <w:p>
      <w:pPr>
        <w:spacing w:after="0"/>
        <w:jc w:val="left"/>
        <w:rPr>
          <w:sz w:val="19"/>
        </w:rPr>
        <w:sectPr>
          <w:headerReference w:type="default" r:id="rId72"/>
          <w:pgSz w:w="11910" w:h="16840"/>
          <w:pgMar w:header="0" w:footer="490" w:top="960" w:bottom="720" w:left="0" w:right="220"/>
        </w:sectPr>
      </w:pPr>
    </w:p>
    <w:p>
      <w:pPr>
        <w:pStyle w:val="BodyText"/>
        <w:spacing w:before="1"/>
        <w:rPr>
          <w:sz w:val="27"/>
        </w:rPr>
      </w:pPr>
    </w:p>
    <w:p>
      <w:pPr>
        <w:spacing w:before="57"/>
        <w:ind w:left="4275" w:right="0" w:firstLine="0"/>
        <w:jc w:val="left"/>
        <w:rPr>
          <w:rFonts w:ascii="Calibri"/>
          <w:b/>
          <w:sz w:val="22"/>
        </w:rPr>
      </w:pPr>
      <w:r>
        <w:rPr>
          <w:rFonts w:ascii="Calibri"/>
          <w:b/>
          <w:color w:val="231F20"/>
          <w:sz w:val="22"/>
          <w:u w:val="single" w:color="231F20"/>
        </w:rPr>
        <w:t>PEOPLE WITH DISABILITIES (WA) INC</w:t>
      </w:r>
    </w:p>
    <w:p>
      <w:pPr>
        <w:spacing w:before="0"/>
        <w:ind w:left="5151" w:right="4894" w:firstLine="158"/>
        <w:jc w:val="left"/>
        <w:rPr>
          <w:rFonts w:ascii="Calibri"/>
          <w:b/>
          <w:sz w:val="22"/>
        </w:rPr>
      </w:pPr>
      <w:r>
        <w:rPr>
          <w:rFonts w:ascii="Calibri"/>
          <w:b/>
          <w:color w:val="231F20"/>
          <w:sz w:val="22"/>
          <w:u w:val="single" w:color="231F20"/>
        </w:rPr>
        <w:t>Balance Sheet</w:t>
      </w:r>
      <w:r>
        <w:rPr>
          <w:rFonts w:ascii="Calibri"/>
          <w:b/>
          <w:color w:val="231F20"/>
          <w:sz w:val="22"/>
        </w:rPr>
        <w:t> As at 30/06/2015</w:t>
      </w:r>
    </w:p>
    <w:p>
      <w:pPr>
        <w:pStyle w:val="BodyText"/>
        <w:spacing w:before="5"/>
        <w:rPr>
          <w:rFonts w:ascii="Calibri"/>
          <w:b/>
          <w:sz w:val="26"/>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4"/>
        <w:gridCol w:w="1581"/>
        <w:gridCol w:w="1007"/>
        <w:gridCol w:w="1003"/>
        <w:gridCol w:w="1007"/>
      </w:tblGrid>
      <w:tr>
        <w:trPr>
          <w:trHeight w:val="641" w:hRule="atLeast"/>
        </w:trPr>
        <w:tc>
          <w:tcPr>
            <w:tcW w:w="4464" w:type="dxa"/>
          </w:tcPr>
          <w:p>
            <w:pPr>
              <w:pStyle w:val="TableParagraph"/>
              <w:rPr>
                <w:rFonts w:ascii="Times New Roman"/>
                <w:sz w:val="22"/>
              </w:rPr>
            </w:pPr>
          </w:p>
        </w:tc>
        <w:tc>
          <w:tcPr>
            <w:tcW w:w="1581" w:type="dxa"/>
          </w:tcPr>
          <w:p>
            <w:pPr>
              <w:pStyle w:val="TableParagraph"/>
              <w:spacing w:line="225" w:lineRule="exact"/>
              <w:ind w:left="847" w:right="252"/>
              <w:jc w:val="center"/>
              <w:rPr>
                <w:sz w:val="22"/>
              </w:rPr>
            </w:pPr>
            <w:r>
              <w:rPr>
                <w:color w:val="231F20"/>
                <w:sz w:val="22"/>
              </w:rPr>
              <w:t>Note</w:t>
            </w:r>
          </w:p>
        </w:tc>
        <w:tc>
          <w:tcPr>
            <w:tcW w:w="1007" w:type="dxa"/>
          </w:tcPr>
          <w:p>
            <w:pPr>
              <w:pStyle w:val="TableParagraph"/>
              <w:spacing w:line="225" w:lineRule="exact"/>
              <w:ind w:left="17"/>
              <w:jc w:val="center"/>
              <w:rPr>
                <w:sz w:val="22"/>
              </w:rPr>
            </w:pPr>
            <w:r>
              <w:rPr>
                <w:color w:val="231F20"/>
                <w:sz w:val="22"/>
              </w:rPr>
              <w:t>2015</w:t>
            </w:r>
          </w:p>
          <w:p>
            <w:pPr>
              <w:pStyle w:val="TableParagraph"/>
              <w:ind w:left="19"/>
              <w:jc w:val="center"/>
              <w:rPr>
                <w:sz w:val="22"/>
              </w:rPr>
            </w:pPr>
            <w:r>
              <w:rPr>
                <w:color w:val="231F20"/>
                <w:w w:val="100"/>
                <w:sz w:val="22"/>
              </w:rPr>
              <w:t>$</w:t>
            </w:r>
          </w:p>
        </w:tc>
        <w:tc>
          <w:tcPr>
            <w:tcW w:w="1003" w:type="dxa"/>
          </w:tcPr>
          <w:p>
            <w:pPr>
              <w:pStyle w:val="TableParagraph"/>
              <w:rPr>
                <w:rFonts w:ascii="Times New Roman"/>
                <w:sz w:val="22"/>
              </w:rPr>
            </w:pPr>
          </w:p>
        </w:tc>
        <w:tc>
          <w:tcPr>
            <w:tcW w:w="1007" w:type="dxa"/>
          </w:tcPr>
          <w:p>
            <w:pPr>
              <w:pStyle w:val="TableParagraph"/>
              <w:spacing w:line="225" w:lineRule="exact"/>
              <w:ind w:left="21"/>
              <w:jc w:val="center"/>
              <w:rPr>
                <w:sz w:val="22"/>
              </w:rPr>
            </w:pPr>
            <w:r>
              <w:rPr>
                <w:color w:val="231F20"/>
                <w:sz w:val="22"/>
              </w:rPr>
              <w:t>2014</w:t>
            </w:r>
          </w:p>
          <w:p>
            <w:pPr>
              <w:pStyle w:val="TableParagraph"/>
              <w:ind w:left="22"/>
              <w:jc w:val="center"/>
              <w:rPr>
                <w:sz w:val="22"/>
              </w:rPr>
            </w:pPr>
            <w:r>
              <w:rPr>
                <w:color w:val="231F20"/>
                <w:w w:val="100"/>
                <w:sz w:val="22"/>
              </w:rPr>
              <w:t>$</w:t>
            </w:r>
          </w:p>
        </w:tc>
      </w:tr>
      <w:tr>
        <w:trPr>
          <w:trHeight w:val="531" w:hRule="atLeast"/>
        </w:trPr>
        <w:tc>
          <w:tcPr>
            <w:tcW w:w="4464" w:type="dxa"/>
          </w:tcPr>
          <w:p>
            <w:pPr>
              <w:pStyle w:val="TableParagraph"/>
              <w:spacing w:before="108"/>
              <w:ind w:left="50"/>
              <w:rPr>
                <w:b/>
                <w:sz w:val="22"/>
              </w:rPr>
            </w:pPr>
            <w:r>
              <w:rPr>
                <w:b/>
                <w:color w:val="231F20"/>
                <w:sz w:val="22"/>
              </w:rPr>
              <w:t>Current Assets</w:t>
            </w:r>
          </w:p>
        </w:tc>
        <w:tc>
          <w:tcPr>
            <w:tcW w:w="1581" w:type="dxa"/>
          </w:tcPr>
          <w:p>
            <w:pPr>
              <w:pStyle w:val="TableParagraph"/>
              <w:rPr>
                <w:rFonts w:ascii="Times New Roman"/>
                <w:sz w:val="22"/>
              </w:rPr>
            </w:pPr>
          </w:p>
        </w:tc>
        <w:tc>
          <w:tcPr>
            <w:tcW w:w="1007" w:type="dxa"/>
          </w:tcPr>
          <w:p>
            <w:pPr>
              <w:pStyle w:val="TableParagraph"/>
              <w:rPr>
                <w:rFonts w:ascii="Times New Roman"/>
                <w:sz w:val="22"/>
              </w:rPr>
            </w:pPr>
          </w:p>
        </w:tc>
        <w:tc>
          <w:tcPr>
            <w:tcW w:w="1003" w:type="dxa"/>
          </w:tcPr>
          <w:p>
            <w:pPr>
              <w:pStyle w:val="TableParagraph"/>
              <w:rPr>
                <w:rFonts w:ascii="Times New Roman"/>
                <w:sz w:val="22"/>
              </w:rPr>
            </w:pPr>
          </w:p>
        </w:tc>
        <w:tc>
          <w:tcPr>
            <w:tcW w:w="1007" w:type="dxa"/>
          </w:tcPr>
          <w:p>
            <w:pPr>
              <w:pStyle w:val="TableParagraph"/>
              <w:rPr>
                <w:rFonts w:ascii="Times New Roman"/>
                <w:sz w:val="22"/>
              </w:rPr>
            </w:pPr>
          </w:p>
        </w:tc>
      </w:tr>
      <w:tr>
        <w:trPr>
          <w:trHeight w:val="409" w:hRule="atLeast"/>
        </w:trPr>
        <w:tc>
          <w:tcPr>
            <w:tcW w:w="4464" w:type="dxa"/>
          </w:tcPr>
          <w:p>
            <w:pPr>
              <w:pStyle w:val="TableParagraph"/>
              <w:spacing w:before="114"/>
              <w:ind w:left="50"/>
              <w:rPr>
                <w:sz w:val="22"/>
              </w:rPr>
            </w:pPr>
            <w:r>
              <w:rPr>
                <w:color w:val="231F20"/>
                <w:sz w:val="22"/>
              </w:rPr>
              <w:t>Cash at Bank and on Hand</w:t>
            </w:r>
          </w:p>
        </w:tc>
        <w:tc>
          <w:tcPr>
            <w:tcW w:w="1581" w:type="dxa"/>
          </w:tcPr>
          <w:p>
            <w:pPr>
              <w:pStyle w:val="TableParagraph"/>
              <w:spacing w:line="263" w:lineRule="exact" w:before="126"/>
              <w:ind w:left="595"/>
              <w:jc w:val="center"/>
              <w:rPr>
                <w:sz w:val="22"/>
              </w:rPr>
            </w:pPr>
            <w:r>
              <w:rPr>
                <w:color w:val="231F20"/>
                <w:w w:val="100"/>
                <w:sz w:val="22"/>
              </w:rPr>
              <w:t>3</w:t>
            </w:r>
          </w:p>
        </w:tc>
        <w:tc>
          <w:tcPr>
            <w:tcW w:w="1007" w:type="dxa"/>
          </w:tcPr>
          <w:p>
            <w:pPr>
              <w:pStyle w:val="TableParagraph"/>
              <w:spacing w:line="263" w:lineRule="exact" w:before="126"/>
              <w:ind w:left="18"/>
              <w:jc w:val="center"/>
              <w:rPr>
                <w:sz w:val="22"/>
              </w:rPr>
            </w:pPr>
            <w:r>
              <w:rPr>
                <w:color w:val="231F20"/>
                <w:sz w:val="22"/>
              </w:rPr>
              <w:t>768,857</w:t>
            </w:r>
          </w:p>
        </w:tc>
        <w:tc>
          <w:tcPr>
            <w:tcW w:w="1003" w:type="dxa"/>
          </w:tcPr>
          <w:p>
            <w:pPr>
              <w:pStyle w:val="TableParagraph"/>
              <w:rPr>
                <w:rFonts w:ascii="Times New Roman"/>
                <w:sz w:val="22"/>
              </w:rPr>
            </w:pPr>
          </w:p>
        </w:tc>
        <w:tc>
          <w:tcPr>
            <w:tcW w:w="1007" w:type="dxa"/>
          </w:tcPr>
          <w:p>
            <w:pPr>
              <w:pStyle w:val="TableParagraph"/>
              <w:spacing w:line="263" w:lineRule="exact" w:before="126"/>
              <w:ind w:left="22"/>
              <w:jc w:val="center"/>
              <w:rPr>
                <w:sz w:val="22"/>
              </w:rPr>
            </w:pPr>
            <w:r>
              <w:rPr>
                <w:color w:val="231F20"/>
                <w:sz w:val="22"/>
              </w:rPr>
              <w:t>547,570</w:t>
            </w:r>
          </w:p>
        </w:tc>
      </w:tr>
      <w:tr>
        <w:trPr>
          <w:trHeight w:val="268" w:hRule="atLeast"/>
        </w:trPr>
        <w:tc>
          <w:tcPr>
            <w:tcW w:w="4464" w:type="dxa"/>
          </w:tcPr>
          <w:p>
            <w:pPr>
              <w:pStyle w:val="TableParagraph"/>
              <w:spacing w:line="243" w:lineRule="exact"/>
              <w:ind w:left="50"/>
              <w:rPr>
                <w:sz w:val="22"/>
              </w:rPr>
            </w:pPr>
            <w:r>
              <w:rPr>
                <w:color w:val="231F20"/>
                <w:sz w:val="22"/>
              </w:rPr>
              <w:t>GST - Input Tax credits</w:t>
            </w:r>
          </w:p>
        </w:tc>
        <w:tc>
          <w:tcPr>
            <w:tcW w:w="1581" w:type="dxa"/>
          </w:tcPr>
          <w:p>
            <w:pPr>
              <w:pStyle w:val="TableParagraph"/>
              <w:rPr>
                <w:rFonts w:ascii="Times New Roman"/>
                <w:sz w:val="18"/>
              </w:rPr>
            </w:pPr>
          </w:p>
        </w:tc>
        <w:tc>
          <w:tcPr>
            <w:tcW w:w="1007" w:type="dxa"/>
          </w:tcPr>
          <w:p>
            <w:pPr>
              <w:pStyle w:val="TableParagraph"/>
              <w:spacing w:line="249" w:lineRule="exact"/>
              <w:ind w:left="19"/>
              <w:jc w:val="center"/>
              <w:rPr>
                <w:sz w:val="22"/>
              </w:rPr>
            </w:pPr>
            <w:r>
              <w:rPr>
                <w:color w:val="231F20"/>
                <w:sz w:val="22"/>
              </w:rPr>
              <w:t>8,298</w:t>
            </w:r>
          </w:p>
        </w:tc>
        <w:tc>
          <w:tcPr>
            <w:tcW w:w="1003" w:type="dxa"/>
          </w:tcPr>
          <w:p>
            <w:pPr>
              <w:pStyle w:val="TableParagraph"/>
              <w:rPr>
                <w:rFonts w:ascii="Times New Roman"/>
                <w:sz w:val="18"/>
              </w:rPr>
            </w:pPr>
          </w:p>
        </w:tc>
        <w:tc>
          <w:tcPr>
            <w:tcW w:w="1007" w:type="dxa"/>
          </w:tcPr>
          <w:p>
            <w:pPr>
              <w:pStyle w:val="TableParagraph"/>
              <w:spacing w:line="249" w:lineRule="exact"/>
              <w:ind w:left="22"/>
              <w:jc w:val="center"/>
              <w:rPr>
                <w:sz w:val="22"/>
              </w:rPr>
            </w:pPr>
            <w:r>
              <w:rPr>
                <w:color w:val="231F20"/>
                <w:sz w:val="22"/>
              </w:rPr>
              <w:t>2,973</w:t>
            </w:r>
          </w:p>
        </w:tc>
      </w:tr>
      <w:tr>
        <w:trPr>
          <w:trHeight w:val="514" w:hRule="atLeast"/>
        </w:trPr>
        <w:tc>
          <w:tcPr>
            <w:tcW w:w="4464" w:type="dxa"/>
          </w:tcPr>
          <w:p>
            <w:pPr>
              <w:pStyle w:val="TableParagraph"/>
              <w:spacing w:line="243" w:lineRule="exact"/>
              <w:ind w:left="50"/>
              <w:rPr>
                <w:sz w:val="22"/>
              </w:rPr>
            </w:pPr>
            <w:r>
              <w:rPr>
                <w:color w:val="231F20"/>
                <w:sz w:val="22"/>
              </w:rPr>
              <w:t>Debtors and Prepayments</w:t>
            </w:r>
          </w:p>
        </w:tc>
        <w:tc>
          <w:tcPr>
            <w:tcW w:w="1581"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16"/>
              <w:jc w:val="center"/>
              <w:rPr>
                <w:sz w:val="22"/>
              </w:rPr>
            </w:pPr>
            <w:r>
              <w:rPr>
                <w:color w:val="231F20"/>
                <w:sz w:val="22"/>
              </w:rPr>
              <w:t>10,329</w:t>
            </w:r>
          </w:p>
        </w:tc>
        <w:tc>
          <w:tcPr>
            <w:tcW w:w="1003"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22"/>
              <w:jc w:val="center"/>
              <w:rPr>
                <w:sz w:val="22"/>
              </w:rPr>
            </w:pPr>
            <w:r>
              <w:rPr>
                <w:color w:val="231F20"/>
                <w:sz w:val="22"/>
              </w:rPr>
              <w:t>6,936</w:t>
            </w:r>
          </w:p>
        </w:tc>
      </w:tr>
      <w:tr>
        <w:trPr>
          <w:trHeight w:val="406" w:hRule="atLeast"/>
        </w:trPr>
        <w:tc>
          <w:tcPr>
            <w:tcW w:w="4464" w:type="dxa"/>
          </w:tcPr>
          <w:p>
            <w:pPr>
              <w:pStyle w:val="TableParagraph"/>
              <w:spacing w:line="246" w:lineRule="exact"/>
              <w:ind w:left="1055"/>
              <w:rPr>
                <w:b/>
                <w:sz w:val="22"/>
              </w:rPr>
            </w:pPr>
            <w:r>
              <w:rPr>
                <w:b/>
                <w:color w:val="231F20"/>
                <w:sz w:val="22"/>
              </w:rPr>
              <w:t>Total Current Assets</w:t>
            </w:r>
          </w:p>
        </w:tc>
        <w:tc>
          <w:tcPr>
            <w:tcW w:w="1581" w:type="dxa"/>
          </w:tcPr>
          <w:p>
            <w:pPr>
              <w:pStyle w:val="TableParagraph"/>
              <w:rPr>
                <w:rFonts w:ascii="Times New Roman"/>
                <w:sz w:val="22"/>
              </w:rPr>
            </w:pPr>
          </w:p>
        </w:tc>
        <w:tc>
          <w:tcPr>
            <w:tcW w:w="1007" w:type="dxa"/>
            <w:tcBorders>
              <w:top w:val="single" w:sz="8" w:space="0" w:color="231F20"/>
            </w:tcBorders>
          </w:tcPr>
          <w:p>
            <w:pPr>
              <w:pStyle w:val="TableParagraph"/>
              <w:spacing w:line="258" w:lineRule="exact"/>
              <w:ind w:left="2"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787,</w:t>
            </w:r>
            <w:r>
              <w:rPr>
                <w:color w:val="231F20"/>
                <w:sz w:val="22"/>
                <w:u w:val="single" w:color="231F20"/>
              </w:rPr>
              <w:t>48</w:t>
            </w:r>
            <w:r>
              <w:rPr>
                <w:color w:val="231F20"/>
                <w:sz w:val="22"/>
              </w:rPr>
              <w:t>4</w:t>
            </w:r>
            <w:r>
              <w:rPr>
                <w:color w:val="231F20"/>
                <w:spacing w:val="-19"/>
                <w:sz w:val="22"/>
              </w:rPr>
              <w:t> </w:t>
            </w:r>
          </w:p>
        </w:tc>
        <w:tc>
          <w:tcPr>
            <w:tcW w:w="1003" w:type="dxa"/>
          </w:tcPr>
          <w:p>
            <w:pPr>
              <w:pStyle w:val="TableParagraph"/>
              <w:rPr>
                <w:rFonts w:ascii="Times New Roman"/>
                <w:sz w:val="22"/>
              </w:rPr>
            </w:pPr>
          </w:p>
        </w:tc>
        <w:tc>
          <w:tcPr>
            <w:tcW w:w="1007" w:type="dxa"/>
            <w:tcBorders>
              <w:top w:val="single" w:sz="8" w:space="0" w:color="231F20"/>
            </w:tcBorders>
          </w:tcPr>
          <w:p>
            <w:pPr>
              <w:pStyle w:val="TableParagraph"/>
              <w:spacing w:line="258" w:lineRule="exact"/>
              <w:ind w:left="4"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557,</w:t>
            </w:r>
            <w:r>
              <w:rPr>
                <w:color w:val="231F20"/>
                <w:sz w:val="22"/>
                <w:u w:val="single" w:color="231F20"/>
              </w:rPr>
              <w:t>47</w:t>
            </w:r>
            <w:r>
              <w:rPr>
                <w:color w:val="231F20"/>
                <w:sz w:val="22"/>
              </w:rPr>
              <w:t>9</w:t>
            </w:r>
            <w:r>
              <w:rPr>
                <w:color w:val="231F20"/>
                <w:spacing w:val="-19"/>
                <w:sz w:val="22"/>
              </w:rPr>
              <w:t> </w:t>
            </w:r>
          </w:p>
        </w:tc>
      </w:tr>
      <w:tr>
        <w:trPr>
          <w:trHeight w:val="531" w:hRule="atLeast"/>
        </w:trPr>
        <w:tc>
          <w:tcPr>
            <w:tcW w:w="4464" w:type="dxa"/>
          </w:tcPr>
          <w:p>
            <w:pPr>
              <w:pStyle w:val="TableParagraph"/>
              <w:spacing w:before="108"/>
              <w:ind w:left="50"/>
              <w:rPr>
                <w:b/>
                <w:sz w:val="22"/>
              </w:rPr>
            </w:pPr>
            <w:r>
              <w:rPr>
                <w:b/>
                <w:color w:val="231F20"/>
                <w:sz w:val="22"/>
              </w:rPr>
              <w:t>Non-current Assets</w:t>
            </w:r>
          </w:p>
        </w:tc>
        <w:tc>
          <w:tcPr>
            <w:tcW w:w="1581" w:type="dxa"/>
          </w:tcPr>
          <w:p>
            <w:pPr>
              <w:pStyle w:val="TableParagraph"/>
              <w:rPr>
                <w:rFonts w:ascii="Times New Roman"/>
                <w:sz w:val="22"/>
              </w:rPr>
            </w:pPr>
          </w:p>
        </w:tc>
        <w:tc>
          <w:tcPr>
            <w:tcW w:w="1007" w:type="dxa"/>
          </w:tcPr>
          <w:p>
            <w:pPr>
              <w:pStyle w:val="TableParagraph"/>
              <w:rPr>
                <w:rFonts w:ascii="Times New Roman"/>
                <w:sz w:val="22"/>
              </w:rPr>
            </w:pPr>
          </w:p>
        </w:tc>
        <w:tc>
          <w:tcPr>
            <w:tcW w:w="1003" w:type="dxa"/>
          </w:tcPr>
          <w:p>
            <w:pPr>
              <w:pStyle w:val="TableParagraph"/>
              <w:rPr>
                <w:rFonts w:ascii="Times New Roman"/>
                <w:sz w:val="22"/>
              </w:rPr>
            </w:pPr>
          </w:p>
        </w:tc>
        <w:tc>
          <w:tcPr>
            <w:tcW w:w="1007" w:type="dxa"/>
          </w:tcPr>
          <w:p>
            <w:pPr>
              <w:pStyle w:val="TableParagraph"/>
              <w:rPr>
                <w:rFonts w:ascii="Times New Roman"/>
                <w:sz w:val="22"/>
              </w:rPr>
            </w:pPr>
          </w:p>
        </w:tc>
      </w:tr>
      <w:tr>
        <w:trPr>
          <w:trHeight w:val="409" w:hRule="atLeast"/>
        </w:trPr>
        <w:tc>
          <w:tcPr>
            <w:tcW w:w="4464" w:type="dxa"/>
          </w:tcPr>
          <w:p>
            <w:pPr>
              <w:pStyle w:val="TableParagraph"/>
              <w:spacing w:before="114"/>
              <w:ind w:left="50"/>
              <w:rPr>
                <w:sz w:val="22"/>
              </w:rPr>
            </w:pPr>
            <w:r>
              <w:rPr>
                <w:color w:val="231F20"/>
                <w:sz w:val="22"/>
              </w:rPr>
              <w:t>Plant/Equipment</w:t>
            </w:r>
          </w:p>
        </w:tc>
        <w:tc>
          <w:tcPr>
            <w:tcW w:w="1581" w:type="dxa"/>
          </w:tcPr>
          <w:p>
            <w:pPr>
              <w:pStyle w:val="TableParagraph"/>
              <w:rPr>
                <w:rFonts w:ascii="Times New Roman"/>
                <w:sz w:val="22"/>
              </w:rPr>
            </w:pPr>
          </w:p>
        </w:tc>
        <w:tc>
          <w:tcPr>
            <w:tcW w:w="1007" w:type="dxa"/>
          </w:tcPr>
          <w:p>
            <w:pPr>
              <w:pStyle w:val="TableParagraph"/>
              <w:spacing w:line="263" w:lineRule="exact" w:before="126"/>
              <w:ind w:left="16"/>
              <w:jc w:val="center"/>
              <w:rPr>
                <w:sz w:val="22"/>
              </w:rPr>
            </w:pPr>
            <w:r>
              <w:rPr>
                <w:color w:val="231F20"/>
                <w:sz w:val="22"/>
              </w:rPr>
              <w:t>76,130</w:t>
            </w:r>
          </w:p>
        </w:tc>
        <w:tc>
          <w:tcPr>
            <w:tcW w:w="1003" w:type="dxa"/>
          </w:tcPr>
          <w:p>
            <w:pPr>
              <w:pStyle w:val="TableParagraph"/>
              <w:rPr>
                <w:rFonts w:ascii="Times New Roman"/>
                <w:sz w:val="22"/>
              </w:rPr>
            </w:pPr>
          </w:p>
        </w:tc>
        <w:tc>
          <w:tcPr>
            <w:tcW w:w="1007" w:type="dxa"/>
          </w:tcPr>
          <w:p>
            <w:pPr>
              <w:pStyle w:val="TableParagraph"/>
              <w:spacing w:line="263" w:lineRule="exact" w:before="126"/>
              <w:ind w:left="20"/>
              <w:jc w:val="center"/>
              <w:rPr>
                <w:sz w:val="22"/>
              </w:rPr>
            </w:pPr>
            <w:r>
              <w:rPr>
                <w:color w:val="231F20"/>
                <w:sz w:val="22"/>
              </w:rPr>
              <w:t>76,130</w:t>
            </w:r>
          </w:p>
        </w:tc>
      </w:tr>
      <w:tr>
        <w:trPr>
          <w:trHeight w:val="403" w:hRule="atLeast"/>
        </w:trPr>
        <w:tc>
          <w:tcPr>
            <w:tcW w:w="4464" w:type="dxa"/>
          </w:tcPr>
          <w:p>
            <w:pPr>
              <w:pStyle w:val="TableParagraph"/>
              <w:spacing w:line="243" w:lineRule="exact"/>
              <w:ind w:left="50"/>
              <w:rPr>
                <w:sz w:val="22"/>
              </w:rPr>
            </w:pPr>
            <w:r>
              <w:rPr>
                <w:color w:val="231F20"/>
                <w:sz w:val="22"/>
              </w:rPr>
              <w:t>Less Accumulated depreciation</w:t>
            </w:r>
          </w:p>
        </w:tc>
        <w:tc>
          <w:tcPr>
            <w:tcW w:w="1581" w:type="dxa"/>
          </w:tcPr>
          <w:p>
            <w:pPr>
              <w:pStyle w:val="TableParagraph"/>
              <w:rPr>
                <w:rFonts w:ascii="Times New Roman"/>
                <w:sz w:val="22"/>
              </w:rPr>
            </w:pPr>
          </w:p>
        </w:tc>
        <w:tc>
          <w:tcPr>
            <w:tcW w:w="1007" w:type="dxa"/>
          </w:tcPr>
          <w:p>
            <w:pPr>
              <w:pStyle w:val="TableParagraph"/>
              <w:spacing w:line="255" w:lineRule="exact"/>
              <w:ind w:left="16"/>
              <w:jc w:val="center"/>
              <w:rPr>
                <w:sz w:val="22"/>
              </w:rPr>
            </w:pPr>
            <w:r>
              <w:rPr>
                <w:color w:val="231F20"/>
                <w:sz w:val="22"/>
              </w:rPr>
              <w:t>76,130</w:t>
            </w:r>
          </w:p>
        </w:tc>
        <w:tc>
          <w:tcPr>
            <w:tcW w:w="1003" w:type="dxa"/>
          </w:tcPr>
          <w:p>
            <w:pPr>
              <w:pStyle w:val="TableParagraph"/>
              <w:rPr>
                <w:rFonts w:ascii="Times New Roman"/>
                <w:sz w:val="22"/>
              </w:rPr>
            </w:pPr>
          </w:p>
        </w:tc>
        <w:tc>
          <w:tcPr>
            <w:tcW w:w="1007" w:type="dxa"/>
          </w:tcPr>
          <w:p>
            <w:pPr>
              <w:pStyle w:val="TableParagraph"/>
              <w:spacing w:line="255" w:lineRule="exact"/>
              <w:ind w:left="20"/>
              <w:jc w:val="center"/>
              <w:rPr>
                <w:sz w:val="22"/>
              </w:rPr>
            </w:pPr>
            <w:r>
              <w:rPr>
                <w:color w:val="231F20"/>
                <w:sz w:val="22"/>
              </w:rPr>
              <w:t>75,576</w:t>
            </w:r>
          </w:p>
        </w:tc>
      </w:tr>
      <w:tr>
        <w:trPr>
          <w:trHeight w:val="403" w:hRule="atLeast"/>
        </w:trPr>
        <w:tc>
          <w:tcPr>
            <w:tcW w:w="4464" w:type="dxa"/>
          </w:tcPr>
          <w:p>
            <w:pPr>
              <w:pStyle w:val="TableParagraph"/>
              <w:spacing w:before="108"/>
              <w:ind w:left="50"/>
              <w:rPr>
                <w:sz w:val="22"/>
              </w:rPr>
            </w:pPr>
            <w:r>
              <w:rPr>
                <w:color w:val="231F20"/>
                <w:sz w:val="22"/>
              </w:rPr>
              <w:t>Motor Vehicle</w:t>
            </w:r>
          </w:p>
        </w:tc>
        <w:tc>
          <w:tcPr>
            <w:tcW w:w="1581" w:type="dxa"/>
          </w:tcPr>
          <w:p>
            <w:pPr>
              <w:pStyle w:val="TableParagraph"/>
              <w:rPr>
                <w:rFonts w:ascii="Times New Roman"/>
                <w:sz w:val="22"/>
              </w:rPr>
            </w:pPr>
          </w:p>
        </w:tc>
        <w:tc>
          <w:tcPr>
            <w:tcW w:w="1007" w:type="dxa"/>
          </w:tcPr>
          <w:p>
            <w:pPr>
              <w:pStyle w:val="TableParagraph"/>
              <w:spacing w:line="263" w:lineRule="exact" w:before="120"/>
              <w:ind w:left="16"/>
              <w:jc w:val="center"/>
              <w:rPr>
                <w:sz w:val="22"/>
              </w:rPr>
            </w:pPr>
            <w:r>
              <w:rPr>
                <w:color w:val="231F20"/>
                <w:sz w:val="22"/>
              </w:rPr>
              <w:t>18,540</w:t>
            </w:r>
          </w:p>
        </w:tc>
        <w:tc>
          <w:tcPr>
            <w:tcW w:w="1003" w:type="dxa"/>
          </w:tcPr>
          <w:p>
            <w:pPr>
              <w:pStyle w:val="TableParagraph"/>
              <w:rPr>
                <w:rFonts w:ascii="Times New Roman"/>
                <w:sz w:val="22"/>
              </w:rPr>
            </w:pPr>
          </w:p>
        </w:tc>
        <w:tc>
          <w:tcPr>
            <w:tcW w:w="1007" w:type="dxa"/>
          </w:tcPr>
          <w:p>
            <w:pPr>
              <w:pStyle w:val="TableParagraph"/>
              <w:spacing w:line="263" w:lineRule="exact" w:before="120"/>
              <w:ind w:left="20"/>
              <w:jc w:val="center"/>
              <w:rPr>
                <w:sz w:val="22"/>
              </w:rPr>
            </w:pPr>
            <w:r>
              <w:rPr>
                <w:color w:val="231F20"/>
                <w:sz w:val="22"/>
              </w:rPr>
              <w:t>56,830</w:t>
            </w:r>
          </w:p>
        </w:tc>
      </w:tr>
      <w:tr>
        <w:trPr>
          <w:trHeight w:val="514" w:hRule="atLeast"/>
        </w:trPr>
        <w:tc>
          <w:tcPr>
            <w:tcW w:w="4464" w:type="dxa"/>
          </w:tcPr>
          <w:p>
            <w:pPr>
              <w:pStyle w:val="TableParagraph"/>
              <w:spacing w:line="243" w:lineRule="exact"/>
              <w:ind w:left="50"/>
              <w:rPr>
                <w:sz w:val="22"/>
              </w:rPr>
            </w:pPr>
            <w:r>
              <w:rPr>
                <w:color w:val="231F20"/>
                <w:sz w:val="22"/>
              </w:rPr>
              <w:t>Less Accumulated depreciation</w:t>
            </w:r>
          </w:p>
        </w:tc>
        <w:tc>
          <w:tcPr>
            <w:tcW w:w="1581"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16"/>
              <w:jc w:val="center"/>
              <w:rPr>
                <w:sz w:val="22"/>
              </w:rPr>
            </w:pPr>
            <w:r>
              <w:rPr>
                <w:color w:val="231F20"/>
                <w:sz w:val="22"/>
              </w:rPr>
              <w:t>18,540</w:t>
            </w:r>
          </w:p>
        </w:tc>
        <w:tc>
          <w:tcPr>
            <w:tcW w:w="1003"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20"/>
              <w:jc w:val="center"/>
              <w:rPr>
                <w:sz w:val="22"/>
              </w:rPr>
            </w:pPr>
            <w:r>
              <w:rPr>
                <w:color w:val="231F20"/>
                <w:sz w:val="22"/>
              </w:rPr>
              <w:t>43,099</w:t>
            </w:r>
          </w:p>
        </w:tc>
      </w:tr>
      <w:tr>
        <w:trPr>
          <w:trHeight w:val="406" w:hRule="atLeast"/>
        </w:trPr>
        <w:tc>
          <w:tcPr>
            <w:tcW w:w="4464" w:type="dxa"/>
          </w:tcPr>
          <w:p>
            <w:pPr>
              <w:pStyle w:val="TableParagraph"/>
              <w:spacing w:line="246" w:lineRule="exact"/>
              <w:ind w:left="1055"/>
              <w:rPr>
                <w:b/>
                <w:sz w:val="22"/>
              </w:rPr>
            </w:pPr>
            <w:r>
              <w:rPr>
                <w:b/>
                <w:color w:val="231F20"/>
                <w:sz w:val="22"/>
              </w:rPr>
              <w:t>Total Non-current Assets</w:t>
            </w:r>
          </w:p>
        </w:tc>
        <w:tc>
          <w:tcPr>
            <w:tcW w:w="1581" w:type="dxa"/>
          </w:tcPr>
          <w:p>
            <w:pPr>
              <w:pStyle w:val="TableParagraph"/>
              <w:rPr>
                <w:rFonts w:ascii="Times New Roman"/>
                <w:sz w:val="22"/>
              </w:rPr>
            </w:pPr>
          </w:p>
        </w:tc>
        <w:tc>
          <w:tcPr>
            <w:tcW w:w="1007" w:type="dxa"/>
            <w:tcBorders>
              <w:top w:val="single" w:sz="8" w:space="0" w:color="231F20"/>
            </w:tcBorders>
          </w:tcPr>
          <w:p>
            <w:pPr>
              <w:pStyle w:val="TableParagraph"/>
              <w:tabs>
                <w:tab w:pos="457" w:val="left" w:leader="none"/>
                <w:tab w:pos="1007" w:val="left" w:leader="none"/>
              </w:tabs>
              <w:spacing w:line="258" w:lineRule="exact"/>
              <w:ind w:left="2" w:right="-15"/>
              <w:jc w:val="center"/>
              <w:rPr>
                <w:sz w:val="22"/>
              </w:rPr>
            </w:pPr>
            <w:r>
              <w:rPr>
                <w:color w:val="231F20"/>
                <w:w w:val="100"/>
                <w:sz w:val="22"/>
                <w:u w:val="double" w:color="231F20"/>
              </w:rPr>
              <w:t> </w:t>
            </w:r>
            <w:r>
              <w:rPr>
                <w:color w:val="231F20"/>
                <w:sz w:val="22"/>
                <w:u w:val="double" w:color="231F20"/>
              </w:rPr>
              <w:tab/>
              <w:t>0</w:t>
              <w:tab/>
            </w:r>
          </w:p>
        </w:tc>
        <w:tc>
          <w:tcPr>
            <w:tcW w:w="1003" w:type="dxa"/>
          </w:tcPr>
          <w:p>
            <w:pPr>
              <w:pStyle w:val="TableParagraph"/>
              <w:rPr>
                <w:rFonts w:ascii="Times New Roman"/>
                <w:sz w:val="22"/>
              </w:rPr>
            </w:pPr>
          </w:p>
        </w:tc>
        <w:tc>
          <w:tcPr>
            <w:tcW w:w="1007" w:type="dxa"/>
            <w:tcBorders>
              <w:top w:val="single" w:sz="8" w:space="0" w:color="231F20"/>
            </w:tcBorders>
          </w:tcPr>
          <w:p>
            <w:pPr>
              <w:pStyle w:val="TableParagraph"/>
              <w:spacing w:line="258" w:lineRule="exact"/>
              <w:ind w:left="4" w:right="-15"/>
              <w:jc w:val="center"/>
              <w:rPr>
                <w:sz w:val="22"/>
              </w:rPr>
            </w:pPr>
            <w:r>
              <w:rPr>
                <w:color w:val="231F20"/>
                <w:w w:val="100"/>
                <w:sz w:val="22"/>
                <w:u w:val="double" w:color="231F20"/>
              </w:rPr>
              <w:t> </w:t>
            </w:r>
            <w:r>
              <w:rPr>
                <w:color w:val="231F20"/>
                <w:sz w:val="22"/>
                <w:u w:val="double" w:color="231F20"/>
              </w:rPr>
              <w:t>  </w:t>
            </w:r>
            <w:r>
              <w:rPr>
                <w:color w:val="231F20"/>
                <w:spacing w:val="0"/>
                <w:sz w:val="22"/>
                <w:u w:val="double" w:color="231F20"/>
              </w:rPr>
              <w:t> </w:t>
            </w:r>
            <w:r>
              <w:rPr>
                <w:color w:val="231F20"/>
                <w:sz w:val="22"/>
                <w:u w:val="double" w:color="231F20"/>
              </w:rPr>
              <w:t>14,</w:t>
            </w:r>
            <w:r>
              <w:rPr>
                <w:color w:val="231F20"/>
                <w:sz w:val="22"/>
                <w:u w:val="single" w:color="231F20"/>
              </w:rPr>
              <w:t>28</w:t>
            </w:r>
            <w:r>
              <w:rPr>
                <w:color w:val="231F20"/>
                <w:sz w:val="22"/>
              </w:rPr>
              <w:t>5</w:t>
            </w:r>
            <w:r>
              <w:rPr>
                <w:color w:val="231F20"/>
                <w:spacing w:val="-12"/>
                <w:sz w:val="22"/>
              </w:rPr>
              <w:t> </w:t>
            </w:r>
          </w:p>
        </w:tc>
      </w:tr>
      <w:tr>
        <w:trPr>
          <w:trHeight w:val="537" w:hRule="atLeast"/>
        </w:trPr>
        <w:tc>
          <w:tcPr>
            <w:tcW w:w="4464" w:type="dxa"/>
          </w:tcPr>
          <w:p>
            <w:pPr>
              <w:pStyle w:val="TableParagraph"/>
              <w:spacing w:before="108"/>
              <w:ind w:left="50"/>
              <w:rPr>
                <w:b/>
                <w:sz w:val="22"/>
              </w:rPr>
            </w:pPr>
            <w:r>
              <w:rPr>
                <w:b/>
                <w:color w:val="231F20"/>
                <w:sz w:val="22"/>
              </w:rPr>
              <w:t>Total Assets</w:t>
            </w:r>
          </w:p>
        </w:tc>
        <w:tc>
          <w:tcPr>
            <w:tcW w:w="1581" w:type="dxa"/>
          </w:tcPr>
          <w:p>
            <w:pPr>
              <w:pStyle w:val="TableParagraph"/>
              <w:rPr>
                <w:rFonts w:ascii="Times New Roman"/>
                <w:sz w:val="22"/>
              </w:rPr>
            </w:pPr>
          </w:p>
        </w:tc>
        <w:tc>
          <w:tcPr>
            <w:tcW w:w="1007" w:type="dxa"/>
          </w:tcPr>
          <w:p>
            <w:pPr>
              <w:pStyle w:val="TableParagraph"/>
              <w:spacing w:before="120"/>
              <w:ind w:left="2"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787,</w:t>
            </w:r>
            <w:r>
              <w:rPr>
                <w:color w:val="231F20"/>
                <w:sz w:val="22"/>
                <w:u w:val="single" w:color="231F20"/>
              </w:rPr>
              <w:t>48</w:t>
            </w:r>
            <w:r>
              <w:rPr>
                <w:color w:val="231F20"/>
                <w:sz w:val="22"/>
              </w:rPr>
              <w:t>4</w:t>
            </w:r>
            <w:r>
              <w:rPr>
                <w:color w:val="231F20"/>
                <w:spacing w:val="-19"/>
                <w:sz w:val="22"/>
              </w:rPr>
              <w:t> </w:t>
            </w:r>
          </w:p>
        </w:tc>
        <w:tc>
          <w:tcPr>
            <w:tcW w:w="1003" w:type="dxa"/>
          </w:tcPr>
          <w:p>
            <w:pPr>
              <w:pStyle w:val="TableParagraph"/>
              <w:rPr>
                <w:rFonts w:ascii="Times New Roman"/>
                <w:sz w:val="22"/>
              </w:rPr>
            </w:pPr>
          </w:p>
        </w:tc>
        <w:tc>
          <w:tcPr>
            <w:tcW w:w="1007" w:type="dxa"/>
          </w:tcPr>
          <w:p>
            <w:pPr>
              <w:pStyle w:val="TableParagraph"/>
              <w:spacing w:before="120"/>
              <w:ind w:left="4"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571,</w:t>
            </w:r>
            <w:r>
              <w:rPr>
                <w:color w:val="231F20"/>
                <w:sz w:val="22"/>
                <w:u w:val="single" w:color="231F20"/>
              </w:rPr>
              <w:t>76</w:t>
            </w:r>
            <w:r>
              <w:rPr>
                <w:color w:val="231F20"/>
                <w:sz w:val="22"/>
              </w:rPr>
              <w:t>4</w:t>
            </w:r>
            <w:r>
              <w:rPr>
                <w:color w:val="231F20"/>
                <w:spacing w:val="-19"/>
                <w:sz w:val="22"/>
              </w:rPr>
              <w:t> </w:t>
            </w:r>
          </w:p>
        </w:tc>
      </w:tr>
      <w:tr>
        <w:trPr>
          <w:trHeight w:val="531" w:hRule="atLeast"/>
        </w:trPr>
        <w:tc>
          <w:tcPr>
            <w:tcW w:w="4464" w:type="dxa"/>
          </w:tcPr>
          <w:p>
            <w:pPr>
              <w:pStyle w:val="TableParagraph"/>
              <w:spacing w:before="108"/>
              <w:ind w:left="50"/>
              <w:rPr>
                <w:b/>
                <w:sz w:val="22"/>
              </w:rPr>
            </w:pPr>
            <w:r>
              <w:rPr>
                <w:b/>
                <w:color w:val="231F20"/>
                <w:sz w:val="22"/>
              </w:rPr>
              <w:t>Liabilities</w:t>
            </w:r>
          </w:p>
        </w:tc>
        <w:tc>
          <w:tcPr>
            <w:tcW w:w="1581" w:type="dxa"/>
          </w:tcPr>
          <w:p>
            <w:pPr>
              <w:pStyle w:val="TableParagraph"/>
              <w:rPr>
                <w:rFonts w:ascii="Times New Roman"/>
                <w:sz w:val="22"/>
              </w:rPr>
            </w:pPr>
          </w:p>
        </w:tc>
        <w:tc>
          <w:tcPr>
            <w:tcW w:w="1007" w:type="dxa"/>
          </w:tcPr>
          <w:p>
            <w:pPr>
              <w:pStyle w:val="TableParagraph"/>
              <w:rPr>
                <w:rFonts w:ascii="Times New Roman"/>
                <w:sz w:val="22"/>
              </w:rPr>
            </w:pPr>
          </w:p>
        </w:tc>
        <w:tc>
          <w:tcPr>
            <w:tcW w:w="1003" w:type="dxa"/>
          </w:tcPr>
          <w:p>
            <w:pPr>
              <w:pStyle w:val="TableParagraph"/>
              <w:rPr>
                <w:rFonts w:ascii="Times New Roman"/>
                <w:sz w:val="22"/>
              </w:rPr>
            </w:pPr>
          </w:p>
        </w:tc>
        <w:tc>
          <w:tcPr>
            <w:tcW w:w="1007" w:type="dxa"/>
          </w:tcPr>
          <w:p>
            <w:pPr>
              <w:pStyle w:val="TableParagraph"/>
              <w:rPr>
                <w:rFonts w:ascii="Times New Roman"/>
                <w:sz w:val="22"/>
              </w:rPr>
            </w:pPr>
          </w:p>
        </w:tc>
      </w:tr>
      <w:tr>
        <w:trPr>
          <w:trHeight w:val="409" w:hRule="atLeast"/>
        </w:trPr>
        <w:tc>
          <w:tcPr>
            <w:tcW w:w="4464" w:type="dxa"/>
          </w:tcPr>
          <w:p>
            <w:pPr>
              <w:pStyle w:val="TableParagraph"/>
              <w:spacing w:before="114"/>
              <w:ind w:left="50"/>
              <w:rPr>
                <w:sz w:val="22"/>
              </w:rPr>
            </w:pPr>
            <w:r>
              <w:rPr>
                <w:color w:val="231F20"/>
                <w:sz w:val="22"/>
              </w:rPr>
              <w:t>Sundry Creditors and Accrued Expenses</w:t>
            </w:r>
          </w:p>
        </w:tc>
        <w:tc>
          <w:tcPr>
            <w:tcW w:w="1581" w:type="dxa"/>
          </w:tcPr>
          <w:p>
            <w:pPr>
              <w:pStyle w:val="TableParagraph"/>
              <w:spacing w:line="263" w:lineRule="exact" w:before="126"/>
              <w:ind w:left="595"/>
              <w:jc w:val="center"/>
              <w:rPr>
                <w:sz w:val="22"/>
              </w:rPr>
            </w:pPr>
            <w:r>
              <w:rPr>
                <w:color w:val="231F20"/>
                <w:w w:val="100"/>
                <w:sz w:val="22"/>
              </w:rPr>
              <w:t>4</w:t>
            </w:r>
          </w:p>
        </w:tc>
        <w:tc>
          <w:tcPr>
            <w:tcW w:w="1007" w:type="dxa"/>
          </w:tcPr>
          <w:p>
            <w:pPr>
              <w:pStyle w:val="TableParagraph"/>
              <w:spacing w:line="263" w:lineRule="exact" w:before="126"/>
              <w:ind w:left="16"/>
              <w:jc w:val="center"/>
              <w:rPr>
                <w:sz w:val="22"/>
              </w:rPr>
            </w:pPr>
            <w:r>
              <w:rPr>
                <w:color w:val="231F20"/>
                <w:sz w:val="22"/>
              </w:rPr>
              <w:t>48,123</w:t>
            </w:r>
          </w:p>
        </w:tc>
        <w:tc>
          <w:tcPr>
            <w:tcW w:w="1003" w:type="dxa"/>
          </w:tcPr>
          <w:p>
            <w:pPr>
              <w:pStyle w:val="TableParagraph"/>
              <w:rPr>
                <w:rFonts w:ascii="Times New Roman"/>
                <w:sz w:val="22"/>
              </w:rPr>
            </w:pPr>
          </w:p>
        </w:tc>
        <w:tc>
          <w:tcPr>
            <w:tcW w:w="1007" w:type="dxa"/>
          </w:tcPr>
          <w:p>
            <w:pPr>
              <w:pStyle w:val="TableParagraph"/>
              <w:spacing w:line="263" w:lineRule="exact" w:before="126"/>
              <w:ind w:left="20"/>
              <w:jc w:val="center"/>
              <w:rPr>
                <w:sz w:val="22"/>
              </w:rPr>
            </w:pPr>
            <w:r>
              <w:rPr>
                <w:color w:val="231F20"/>
                <w:sz w:val="22"/>
              </w:rPr>
              <w:t>29,764</w:t>
            </w:r>
          </w:p>
        </w:tc>
      </w:tr>
      <w:tr>
        <w:trPr>
          <w:trHeight w:val="268" w:hRule="atLeast"/>
        </w:trPr>
        <w:tc>
          <w:tcPr>
            <w:tcW w:w="4464" w:type="dxa"/>
          </w:tcPr>
          <w:p>
            <w:pPr>
              <w:pStyle w:val="TableParagraph"/>
              <w:spacing w:line="243" w:lineRule="exact"/>
              <w:ind w:left="50"/>
              <w:rPr>
                <w:sz w:val="22"/>
              </w:rPr>
            </w:pPr>
            <w:r>
              <w:rPr>
                <w:color w:val="231F20"/>
                <w:sz w:val="22"/>
              </w:rPr>
              <w:t>Income Received in Advance</w:t>
            </w:r>
          </w:p>
        </w:tc>
        <w:tc>
          <w:tcPr>
            <w:tcW w:w="1581" w:type="dxa"/>
          </w:tcPr>
          <w:p>
            <w:pPr>
              <w:pStyle w:val="TableParagraph"/>
              <w:spacing w:line="249" w:lineRule="exact"/>
              <w:ind w:left="595"/>
              <w:jc w:val="center"/>
              <w:rPr>
                <w:sz w:val="22"/>
              </w:rPr>
            </w:pPr>
            <w:r>
              <w:rPr>
                <w:color w:val="231F20"/>
                <w:w w:val="100"/>
                <w:sz w:val="22"/>
              </w:rPr>
              <w:t>5</w:t>
            </w:r>
          </w:p>
        </w:tc>
        <w:tc>
          <w:tcPr>
            <w:tcW w:w="1007" w:type="dxa"/>
          </w:tcPr>
          <w:p>
            <w:pPr>
              <w:pStyle w:val="TableParagraph"/>
              <w:spacing w:line="249" w:lineRule="exact"/>
              <w:ind w:left="18"/>
              <w:jc w:val="center"/>
              <w:rPr>
                <w:sz w:val="22"/>
              </w:rPr>
            </w:pPr>
            <w:r>
              <w:rPr>
                <w:color w:val="231F20"/>
                <w:sz w:val="22"/>
              </w:rPr>
              <w:t>217,650</w:t>
            </w:r>
          </w:p>
        </w:tc>
        <w:tc>
          <w:tcPr>
            <w:tcW w:w="1003" w:type="dxa"/>
          </w:tcPr>
          <w:p>
            <w:pPr>
              <w:pStyle w:val="TableParagraph"/>
              <w:rPr>
                <w:rFonts w:ascii="Times New Roman"/>
                <w:sz w:val="18"/>
              </w:rPr>
            </w:pPr>
          </w:p>
        </w:tc>
        <w:tc>
          <w:tcPr>
            <w:tcW w:w="1007" w:type="dxa"/>
          </w:tcPr>
          <w:p>
            <w:pPr>
              <w:pStyle w:val="TableParagraph"/>
              <w:spacing w:line="249" w:lineRule="exact"/>
              <w:ind w:left="20"/>
              <w:jc w:val="center"/>
              <w:rPr>
                <w:sz w:val="22"/>
              </w:rPr>
            </w:pPr>
            <w:r>
              <w:rPr>
                <w:color w:val="231F20"/>
                <w:sz w:val="22"/>
              </w:rPr>
              <w:t>53,953</w:t>
            </w:r>
          </w:p>
        </w:tc>
      </w:tr>
      <w:tr>
        <w:trPr>
          <w:trHeight w:val="268" w:hRule="atLeast"/>
        </w:trPr>
        <w:tc>
          <w:tcPr>
            <w:tcW w:w="4464" w:type="dxa"/>
          </w:tcPr>
          <w:p>
            <w:pPr>
              <w:pStyle w:val="TableParagraph"/>
              <w:spacing w:line="243" w:lineRule="exact"/>
              <w:ind w:left="50"/>
              <w:rPr>
                <w:sz w:val="22"/>
              </w:rPr>
            </w:pPr>
            <w:r>
              <w:rPr>
                <w:color w:val="231F20"/>
                <w:sz w:val="22"/>
              </w:rPr>
              <w:t>GST - collected</w:t>
            </w:r>
          </w:p>
        </w:tc>
        <w:tc>
          <w:tcPr>
            <w:tcW w:w="1581"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13,087</w:t>
            </w:r>
          </w:p>
        </w:tc>
        <w:tc>
          <w:tcPr>
            <w:tcW w:w="1003" w:type="dxa"/>
          </w:tcPr>
          <w:p>
            <w:pPr>
              <w:pStyle w:val="TableParagraph"/>
              <w:rPr>
                <w:rFonts w:ascii="Times New Roman"/>
                <w:sz w:val="18"/>
              </w:rPr>
            </w:pPr>
          </w:p>
        </w:tc>
        <w:tc>
          <w:tcPr>
            <w:tcW w:w="1007" w:type="dxa"/>
          </w:tcPr>
          <w:p>
            <w:pPr>
              <w:pStyle w:val="TableParagraph"/>
              <w:spacing w:line="249" w:lineRule="exact"/>
              <w:ind w:left="20"/>
              <w:jc w:val="center"/>
              <w:rPr>
                <w:sz w:val="22"/>
              </w:rPr>
            </w:pPr>
            <w:r>
              <w:rPr>
                <w:color w:val="231F20"/>
                <w:sz w:val="22"/>
              </w:rPr>
              <w:t>20,197</w:t>
            </w:r>
          </w:p>
        </w:tc>
      </w:tr>
      <w:tr>
        <w:trPr>
          <w:trHeight w:val="268" w:hRule="atLeast"/>
        </w:trPr>
        <w:tc>
          <w:tcPr>
            <w:tcW w:w="4464" w:type="dxa"/>
          </w:tcPr>
          <w:p>
            <w:pPr>
              <w:pStyle w:val="TableParagraph"/>
              <w:spacing w:line="243" w:lineRule="exact"/>
              <w:ind w:left="50"/>
              <w:rPr>
                <w:sz w:val="22"/>
              </w:rPr>
            </w:pPr>
            <w:r>
              <w:rPr>
                <w:color w:val="231F20"/>
                <w:sz w:val="22"/>
              </w:rPr>
              <w:t>Provisions - Annual Leave &amp; Sick Leave</w:t>
            </w:r>
          </w:p>
        </w:tc>
        <w:tc>
          <w:tcPr>
            <w:tcW w:w="1581" w:type="dxa"/>
          </w:tcPr>
          <w:p>
            <w:pPr>
              <w:pStyle w:val="TableParagraph"/>
              <w:spacing w:line="249" w:lineRule="exact"/>
              <w:ind w:left="595"/>
              <w:jc w:val="center"/>
              <w:rPr>
                <w:sz w:val="22"/>
              </w:rPr>
            </w:pPr>
            <w:r>
              <w:rPr>
                <w:color w:val="231F20"/>
                <w:w w:val="100"/>
                <w:sz w:val="22"/>
              </w:rPr>
              <w:t>6</w:t>
            </w:r>
          </w:p>
        </w:tc>
        <w:tc>
          <w:tcPr>
            <w:tcW w:w="1007" w:type="dxa"/>
          </w:tcPr>
          <w:p>
            <w:pPr>
              <w:pStyle w:val="TableParagraph"/>
              <w:spacing w:line="249" w:lineRule="exact"/>
              <w:ind w:left="16"/>
              <w:jc w:val="center"/>
              <w:rPr>
                <w:sz w:val="22"/>
              </w:rPr>
            </w:pPr>
            <w:r>
              <w:rPr>
                <w:color w:val="231F20"/>
                <w:sz w:val="22"/>
              </w:rPr>
              <w:t>39,397</w:t>
            </w:r>
          </w:p>
        </w:tc>
        <w:tc>
          <w:tcPr>
            <w:tcW w:w="1003" w:type="dxa"/>
          </w:tcPr>
          <w:p>
            <w:pPr>
              <w:pStyle w:val="TableParagraph"/>
              <w:rPr>
                <w:rFonts w:ascii="Times New Roman"/>
                <w:sz w:val="18"/>
              </w:rPr>
            </w:pPr>
          </w:p>
        </w:tc>
        <w:tc>
          <w:tcPr>
            <w:tcW w:w="1007" w:type="dxa"/>
          </w:tcPr>
          <w:p>
            <w:pPr>
              <w:pStyle w:val="TableParagraph"/>
              <w:spacing w:line="249" w:lineRule="exact"/>
              <w:ind w:left="20"/>
              <w:jc w:val="center"/>
              <w:rPr>
                <w:sz w:val="22"/>
              </w:rPr>
            </w:pPr>
            <w:r>
              <w:rPr>
                <w:color w:val="231F20"/>
                <w:sz w:val="22"/>
              </w:rPr>
              <w:t>50,540</w:t>
            </w:r>
          </w:p>
        </w:tc>
      </w:tr>
      <w:tr>
        <w:trPr>
          <w:trHeight w:val="268" w:hRule="atLeast"/>
        </w:trPr>
        <w:tc>
          <w:tcPr>
            <w:tcW w:w="4464" w:type="dxa"/>
          </w:tcPr>
          <w:p>
            <w:pPr>
              <w:pStyle w:val="TableParagraph"/>
              <w:spacing w:line="243" w:lineRule="exact"/>
              <w:ind w:left="1105"/>
              <w:rPr>
                <w:sz w:val="22"/>
              </w:rPr>
            </w:pPr>
            <w:r>
              <w:rPr>
                <w:color w:val="231F20"/>
                <w:sz w:val="22"/>
              </w:rPr>
              <w:t>Long Service Leave</w:t>
            </w:r>
          </w:p>
        </w:tc>
        <w:tc>
          <w:tcPr>
            <w:tcW w:w="1581" w:type="dxa"/>
          </w:tcPr>
          <w:p>
            <w:pPr>
              <w:pStyle w:val="TableParagraph"/>
              <w:spacing w:line="249" w:lineRule="exact"/>
              <w:ind w:left="595"/>
              <w:jc w:val="center"/>
              <w:rPr>
                <w:sz w:val="22"/>
              </w:rPr>
            </w:pPr>
            <w:r>
              <w:rPr>
                <w:color w:val="231F20"/>
                <w:w w:val="100"/>
                <w:sz w:val="22"/>
              </w:rPr>
              <w:t>6</w:t>
            </w:r>
          </w:p>
        </w:tc>
        <w:tc>
          <w:tcPr>
            <w:tcW w:w="1007" w:type="dxa"/>
          </w:tcPr>
          <w:p>
            <w:pPr>
              <w:pStyle w:val="TableParagraph"/>
              <w:spacing w:line="249" w:lineRule="exact"/>
              <w:ind w:left="16"/>
              <w:jc w:val="center"/>
              <w:rPr>
                <w:sz w:val="22"/>
              </w:rPr>
            </w:pPr>
            <w:r>
              <w:rPr>
                <w:color w:val="231F20"/>
                <w:sz w:val="22"/>
              </w:rPr>
              <w:t>59,287</w:t>
            </w:r>
          </w:p>
        </w:tc>
        <w:tc>
          <w:tcPr>
            <w:tcW w:w="1003" w:type="dxa"/>
          </w:tcPr>
          <w:p>
            <w:pPr>
              <w:pStyle w:val="TableParagraph"/>
              <w:rPr>
                <w:rFonts w:ascii="Times New Roman"/>
                <w:sz w:val="18"/>
              </w:rPr>
            </w:pPr>
          </w:p>
        </w:tc>
        <w:tc>
          <w:tcPr>
            <w:tcW w:w="1007" w:type="dxa"/>
          </w:tcPr>
          <w:p>
            <w:pPr>
              <w:pStyle w:val="TableParagraph"/>
              <w:spacing w:line="249" w:lineRule="exact"/>
              <w:ind w:left="20"/>
              <w:jc w:val="center"/>
              <w:rPr>
                <w:sz w:val="22"/>
              </w:rPr>
            </w:pPr>
            <w:r>
              <w:rPr>
                <w:color w:val="231F20"/>
                <w:sz w:val="22"/>
              </w:rPr>
              <w:t>71,449</w:t>
            </w:r>
          </w:p>
        </w:tc>
      </w:tr>
      <w:tr>
        <w:trPr>
          <w:trHeight w:val="514" w:hRule="atLeast"/>
        </w:trPr>
        <w:tc>
          <w:tcPr>
            <w:tcW w:w="4464" w:type="dxa"/>
          </w:tcPr>
          <w:p>
            <w:pPr>
              <w:pStyle w:val="TableParagraph"/>
              <w:spacing w:line="243" w:lineRule="exact"/>
              <w:ind w:left="1055"/>
              <w:rPr>
                <w:sz w:val="22"/>
              </w:rPr>
            </w:pPr>
            <w:r>
              <w:rPr>
                <w:color w:val="231F20"/>
                <w:sz w:val="22"/>
              </w:rPr>
              <w:t>Motor Vehicle Replacement</w:t>
            </w:r>
          </w:p>
        </w:tc>
        <w:tc>
          <w:tcPr>
            <w:tcW w:w="1581"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16"/>
              <w:jc w:val="center"/>
              <w:rPr>
                <w:sz w:val="22"/>
              </w:rPr>
            </w:pPr>
            <w:r>
              <w:rPr>
                <w:color w:val="231F20"/>
                <w:sz w:val="22"/>
              </w:rPr>
              <w:t>14,000</w:t>
            </w:r>
          </w:p>
        </w:tc>
        <w:tc>
          <w:tcPr>
            <w:tcW w:w="1003"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20"/>
              <w:jc w:val="center"/>
              <w:rPr>
                <w:sz w:val="22"/>
              </w:rPr>
            </w:pPr>
            <w:r>
              <w:rPr>
                <w:color w:val="231F20"/>
                <w:sz w:val="22"/>
              </w:rPr>
              <w:t>14,000</w:t>
            </w:r>
          </w:p>
        </w:tc>
      </w:tr>
      <w:tr>
        <w:trPr>
          <w:trHeight w:val="254" w:hRule="atLeast"/>
        </w:trPr>
        <w:tc>
          <w:tcPr>
            <w:tcW w:w="4464" w:type="dxa"/>
          </w:tcPr>
          <w:p>
            <w:pPr>
              <w:pStyle w:val="TableParagraph"/>
              <w:spacing w:line="235" w:lineRule="exact"/>
              <w:ind w:left="1055"/>
              <w:rPr>
                <w:b/>
                <w:sz w:val="22"/>
              </w:rPr>
            </w:pPr>
            <w:r>
              <w:rPr>
                <w:b/>
                <w:color w:val="231F20"/>
                <w:sz w:val="22"/>
              </w:rPr>
              <w:t>Total liabilities</w:t>
            </w:r>
          </w:p>
        </w:tc>
        <w:tc>
          <w:tcPr>
            <w:tcW w:w="1581" w:type="dxa"/>
          </w:tcPr>
          <w:p>
            <w:pPr>
              <w:pStyle w:val="TableParagraph"/>
              <w:rPr>
                <w:rFonts w:ascii="Times New Roman"/>
                <w:sz w:val="18"/>
              </w:rPr>
            </w:pPr>
          </w:p>
        </w:tc>
        <w:tc>
          <w:tcPr>
            <w:tcW w:w="1007" w:type="dxa"/>
            <w:tcBorders>
              <w:top w:val="single" w:sz="8" w:space="0" w:color="231F20"/>
            </w:tcBorders>
          </w:tcPr>
          <w:p>
            <w:pPr>
              <w:pStyle w:val="TableParagraph"/>
              <w:spacing w:line="235" w:lineRule="exact"/>
              <w:ind w:left="2"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391,</w:t>
            </w:r>
            <w:r>
              <w:rPr>
                <w:color w:val="231F20"/>
                <w:sz w:val="22"/>
                <w:u w:val="single" w:color="231F20"/>
              </w:rPr>
              <w:t>54</w:t>
            </w:r>
            <w:r>
              <w:rPr>
                <w:color w:val="231F20"/>
                <w:sz w:val="22"/>
              </w:rPr>
              <w:t>4</w:t>
            </w:r>
            <w:r>
              <w:rPr>
                <w:color w:val="231F20"/>
                <w:spacing w:val="-19"/>
                <w:sz w:val="22"/>
              </w:rPr>
              <w:t> </w:t>
            </w:r>
          </w:p>
        </w:tc>
        <w:tc>
          <w:tcPr>
            <w:tcW w:w="1003" w:type="dxa"/>
          </w:tcPr>
          <w:p>
            <w:pPr>
              <w:pStyle w:val="TableParagraph"/>
              <w:rPr>
                <w:rFonts w:ascii="Times New Roman"/>
                <w:sz w:val="18"/>
              </w:rPr>
            </w:pPr>
          </w:p>
        </w:tc>
        <w:tc>
          <w:tcPr>
            <w:tcW w:w="1007" w:type="dxa"/>
            <w:tcBorders>
              <w:top w:val="single" w:sz="8" w:space="0" w:color="231F20"/>
            </w:tcBorders>
          </w:tcPr>
          <w:p>
            <w:pPr>
              <w:pStyle w:val="TableParagraph"/>
              <w:spacing w:line="235" w:lineRule="exact"/>
              <w:ind w:left="4" w:right="-15"/>
              <w:jc w:val="center"/>
              <w:rPr>
                <w:sz w:val="22"/>
              </w:rPr>
            </w:pPr>
            <w:r>
              <w:rPr>
                <w:color w:val="231F20"/>
                <w:w w:val="100"/>
                <w:sz w:val="22"/>
                <w:u w:val="double" w:color="231F20"/>
              </w:rPr>
              <w:t> </w:t>
            </w:r>
            <w:r>
              <w:rPr>
                <w:color w:val="231F20"/>
                <w:sz w:val="22"/>
                <w:u w:val="double" w:color="231F20"/>
              </w:rPr>
              <w:t> </w:t>
            </w:r>
            <w:r>
              <w:rPr>
                <w:color w:val="231F20"/>
                <w:spacing w:val="-5"/>
                <w:sz w:val="22"/>
                <w:u w:val="double" w:color="231F20"/>
              </w:rPr>
              <w:t> </w:t>
            </w:r>
            <w:r>
              <w:rPr>
                <w:color w:val="231F20"/>
                <w:sz w:val="22"/>
                <w:u w:val="double" w:color="231F20"/>
              </w:rPr>
              <w:t>239,</w:t>
            </w:r>
            <w:r>
              <w:rPr>
                <w:color w:val="231F20"/>
                <w:sz w:val="22"/>
                <w:u w:val="single" w:color="231F20"/>
              </w:rPr>
              <w:t>90</w:t>
            </w:r>
            <w:r>
              <w:rPr>
                <w:color w:val="231F20"/>
                <w:sz w:val="22"/>
              </w:rPr>
              <w:t>1</w:t>
            </w:r>
            <w:r>
              <w:rPr>
                <w:color w:val="231F20"/>
                <w:spacing w:val="-19"/>
                <w:sz w:val="22"/>
              </w:rPr>
              <w:t> </w:t>
            </w:r>
          </w:p>
        </w:tc>
      </w:tr>
    </w:tbl>
    <w:p>
      <w:pPr>
        <w:pStyle w:val="BodyText"/>
        <w:spacing w:before="4"/>
        <w:rPr>
          <w:rFonts w:ascii="Calibri"/>
          <w:b/>
          <w:sz w:val="18"/>
        </w:rPr>
      </w:pPr>
      <w:r>
        <w:rPr/>
        <w:pict>
          <v:group style="position:absolute;margin-left:372.670013pt;margin-top:13.19pt;width:50.4pt;height:1pt;mso-position-horizontal-relative:page;mso-position-vertical-relative:paragraph;z-index:2800;mso-wrap-distance-left:0;mso-wrap-distance-right:0" coordorigin="7453,264" coordsize="1008,20">
            <v:line style="position:absolute" from="7455,265" to="8460,265" stroked="true" strokeweight=".140pt" strokecolor="#231f20">
              <v:stroke dashstyle="solid"/>
            </v:line>
            <v:line style="position:absolute" from="7453,274" to="8461,274" stroked="true" strokeweight=".959pt" strokecolor="#231f20">
              <v:stroke dashstyle="solid"/>
            </v:line>
            <w10:wrap type="topAndBottom"/>
          </v:group>
        </w:pict>
      </w:r>
      <w:r>
        <w:rPr/>
        <w:pict>
          <v:group style="position:absolute;margin-left:473.26001pt;margin-top:13.19pt;width:50.4pt;height:1pt;mso-position-horizontal-relative:page;mso-position-vertical-relative:paragraph;z-index:2824;mso-wrap-distance-left:0;mso-wrap-distance-right:0" coordorigin="9465,264" coordsize="1008,20">
            <v:line style="position:absolute" from="9466,265" to="10472,265" stroked="true" strokeweight=".140pt" strokecolor="#231f20">
              <v:stroke dashstyle="solid"/>
            </v:line>
            <v:line style="position:absolute" from="9465,274" to="10473,274" stroked="true" strokeweight=".959pt" strokecolor="#231f20">
              <v:stroke dashstyle="solid"/>
            </v:line>
            <w10:wrap type="topAndBottom"/>
          </v:group>
        </w:pict>
      </w:r>
    </w:p>
    <w:p>
      <w:pPr>
        <w:pStyle w:val="BodyText"/>
        <w:rPr>
          <w:rFonts w:ascii="Calibri"/>
          <w:b/>
          <w:sz w:val="20"/>
        </w:rPr>
      </w:pPr>
    </w:p>
    <w:p>
      <w:pPr>
        <w:pStyle w:val="BodyText"/>
        <w:rPr>
          <w:rFonts w:ascii="Calibri"/>
          <w:b/>
          <w:sz w:val="20"/>
        </w:rPr>
      </w:pPr>
    </w:p>
    <w:p>
      <w:pPr>
        <w:pStyle w:val="BodyText"/>
        <w:spacing w:before="10"/>
        <w:rPr>
          <w:rFonts w:ascii="Calibri"/>
          <w:b/>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6"/>
        <w:gridCol w:w="1008"/>
        <w:gridCol w:w="1004"/>
        <w:gridCol w:w="1008"/>
      </w:tblGrid>
      <w:tr>
        <w:trPr>
          <w:trHeight w:val="265" w:hRule="atLeast"/>
        </w:trPr>
        <w:tc>
          <w:tcPr>
            <w:tcW w:w="6046" w:type="dxa"/>
          </w:tcPr>
          <w:p>
            <w:pPr>
              <w:pStyle w:val="TableParagraph"/>
              <w:spacing w:line="225" w:lineRule="exact"/>
              <w:ind w:left="50"/>
              <w:rPr>
                <w:b/>
                <w:sz w:val="22"/>
              </w:rPr>
            </w:pPr>
            <w:r>
              <w:rPr>
                <w:b/>
                <w:color w:val="231F20"/>
                <w:sz w:val="22"/>
              </w:rPr>
              <w:t>Net Assets</w:t>
            </w:r>
          </w:p>
        </w:tc>
        <w:tc>
          <w:tcPr>
            <w:tcW w:w="1008" w:type="dxa"/>
            <w:tcBorders>
              <w:bottom w:val="single" w:sz="8" w:space="0" w:color="231F20"/>
            </w:tcBorders>
          </w:tcPr>
          <w:p>
            <w:pPr>
              <w:pStyle w:val="TableParagraph"/>
              <w:spacing w:line="246" w:lineRule="exact"/>
              <w:ind w:right="-15"/>
              <w:jc w:val="center"/>
              <w:rPr>
                <w:sz w:val="22"/>
              </w:rPr>
            </w:pPr>
            <w:r>
              <w:rPr>
                <w:color w:val="231F20"/>
                <w:w w:val="100"/>
                <w:sz w:val="22"/>
                <w:u w:val="single" w:color="231F20"/>
              </w:rPr>
              <w:t> </w:t>
            </w:r>
            <w:r>
              <w:rPr>
                <w:color w:val="231F20"/>
                <w:sz w:val="22"/>
                <w:u w:val="single" w:color="231F20"/>
              </w:rPr>
              <w:t> </w:t>
            </w:r>
            <w:r>
              <w:rPr>
                <w:color w:val="231F20"/>
                <w:spacing w:val="-3"/>
                <w:sz w:val="22"/>
                <w:u w:val="single" w:color="231F20"/>
              </w:rPr>
              <w:t> </w:t>
            </w:r>
            <w:r>
              <w:rPr>
                <w:color w:val="231F20"/>
                <w:sz w:val="22"/>
                <w:u w:val="single" w:color="231F20"/>
              </w:rPr>
              <w:t>395,940</w:t>
            </w:r>
            <w:r>
              <w:rPr>
                <w:color w:val="231F20"/>
                <w:spacing w:val="-18"/>
                <w:sz w:val="22"/>
                <w:u w:val="single" w:color="231F20"/>
              </w:rPr>
              <w:t> </w:t>
            </w:r>
          </w:p>
        </w:tc>
        <w:tc>
          <w:tcPr>
            <w:tcW w:w="1004" w:type="dxa"/>
          </w:tcPr>
          <w:p>
            <w:pPr>
              <w:pStyle w:val="TableParagraph"/>
              <w:rPr>
                <w:rFonts w:ascii="Times New Roman"/>
                <w:sz w:val="18"/>
              </w:rPr>
            </w:pPr>
          </w:p>
        </w:tc>
        <w:tc>
          <w:tcPr>
            <w:tcW w:w="1008" w:type="dxa"/>
            <w:tcBorders>
              <w:bottom w:val="single" w:sz="8" w:space="0" w:color="231F20"/>
            </w:tcBorders>
          </w:tcPr>
          <w:p>
            <w:pPr>
              <w:pStyle w:val="TableParagraph"/>
              <w:spacing w:line="246" w:lineRule="exact"/>
              <w:ind w:left="-1"/>
              <w:jc w:val="center"/>
              <w:rPr>
                <w:sz w:val="22"/>
              </w:rPr>
            </w:pPr>
            <w:r>
              <w:rPr>
                <w:color w:val="231F20"/>
                <w:w w:val="100"/>
                <w:sz w:val="22"/>
                <w:u w:val="single" w:color="231F20"/>
              </w:rPr>
              <w:t> </w:t>
            </w:r>
            <w:r>
              <w:rPr>
                <w:color w:val="231F20"/>
                <w:sz w:val="22"/>
                <w:u w:val="single" w:color="231F20"/>
              </w:rPr>
              <w:t> </w:t>
            </w:r>
            <w:r>
              <w:rPr>
                <w:color w:val="231F20"/>
                <w:spacing w:val="-3"/>
                <w:sz w:val="22"/>
                <w:u w:val="single" w:color="231F20"/>
              </w:rPr>
              <w:t> </w:t>
            </w:r>
            <w:r>
              <w:rPr>
                <w:color w:val="231F20"/>
                <w:sz w:val="22"/>
                <w:u w:val="single" w:color="231F20"/>
              </w:rPr>
              <w:t>331,863</w:t>
            </w:r>
            <w:r>
              <w:rPr>
                <w:color w:val="231F20"/>
                <w:spacing w:val="-18"/>
                <w:sz w:val="22"/>
                <w:u w:val="single" w:color="231F20"/>
              </w:rPr>
              <w:t> </w:t>
            </w:r>
          </w:p>
        </w:tc>
      </w:tr>
      <w:tr>
        <w:trPr>
          <w:trHeight w:val="541" w:hRule="atLeast"/>
        </w:trPr>
        <w:tc>
          <w:tcPr>
            <w:tcW w:w="6046" w:type="dxa"/>
          </w:tcPr>
          <w:p>
            <w:pPr>
              <w:pStyle w:val="TableParagraph"/>
              <w:spacing w:before="12"/>
              <w:rPr>
                <w:b/>
                <w:sz w:val="18"/>
              </w:rPr>
            </w:pPr>
          </w:p>
          <w:p>
            <w:pPr>
              <w:pStyle w:val="TableParagraph"/>
              <w:ind w:left="50"/>
              <w:rPr>
                <w:b/>
                <w:sz w:val="22"/>
              </w:rPr>
            </w:pPr>
            <w:r>
              <w:rPr>
                <w:b/>
                <w:color w:val="231F20"/>
                <w:sz w:val="22"/>
              </w:rPr>
              <w:t>Accumulated funds</w:t>
            </w:r>
          </w:p>
        </w:tc>
        <w:tc>
          <w:tcPr>
            <w:tcW w:w="1008" w:type="dxa"/>
            <w:tcBorders>
              <w:top w:val="single" w:sz="8" w:space="0" w:color="231F20"/>
              <w:bottom w:val="single" w:sz="8" w:space="0" w:color="231F20"/>
            </w:tcBorders>
          </w:tcPr>
          <w:p>
            <w:pPr>
              <w:pStyle w:val="TableParagraph"/>
              <w:spacing w:before="1"/>
              <w:rPr>
                <w:b/>
                <w:sz w:val="21"/>
              </w:rPr>
            </w:pPr>
          </w:p>
          <w:p>
            <w:pPr>
              <w:pStyle w:val="TableParagraph"/>
              <w:spacing w:line="263" w:lineRule="exact"/>
              <w:ind w:right="-15"/>
              <w:jc w:val="center"/>
              <w:rPr>
                <w:sz w:val="22"/>
              </w:rPr>
            </w:pPr>
            <w:r>
              <w:rPr>
                <w:color w:val="231F20"/>
                <w:w w:val="100"/>
                <w:sz w:val="22"/>
                <w:u w:val="single" w:color="231F20"/>
              </w:rPr>
              <w:t> </w:t>
            </w:r>
            <w:r>
              <w:rPr>
                <w:color w:val="231F20"/>
                <w:sz w:val="22"/>
                <w:u w:val="single" w:color="231F20"/>
              </w:rPr>
              <w:t> </w:t>
            </w:r>
            <w:r>
              <w:rPr>
                <w:color w:val="231F20"/>
                <w:spacing w:val="-3"/>
                <w:sz w:val="22"/>
                <w:u w:val="single" w:color="231F20"/>
              </w:rPr>
              <w:t> </w:t>
            </w:r>
            <w:r>
              <w:rPr>
                <w:color w:val="231F20"/>
                <w:sz w:val="22"/>
                <w:u w:val="single" w:color="231F20"/>
              </w:rPr>
              <w:t>395,940</w:t>
            </w:r>
            <w:r>
              <w:rPr>
                <w:color w:val="231F20"/>
                <w:spacing w:val="-18"/>
                <w:sz w:val="22"/>
                <w:u w:val="single" w:color="231F20"/>
              </w:rPr>
              <w:t> </w:t>
            </w:r>
          </w:p>
        </w:tc>
        <w:tc>
          <w:tcPr>
            <w:tcW w:w="1004" w:type="dxa"/>
          </w:tcPr>
          <w:p>
            <w:pPr>
              <w:pStyle w:val="TableParagraph"/>
              <w:rPr>
                <w:rFonts w:ascii="Times New Roman"/>
                <w:sz w:val="22"/>
              </w:rPr>
            </w:pPr>
          </w:p>
        </w:tc>
        <w:tc>
          <w:tcPr>
            <w:tcW w:w="1008" w:type="dxa"/>
            <w:tcBorders>
              <w:top w:val="single" w:sz="8" w:space="0" w:color="231F20"/>
              <w:bottom w:val="single" w:sz="8" w:space="0" w:color="231F20"/>
            </w:tcBorders>
          </w:tcPr>
          <w:p>
            <w:pPr>
              <w:pStyle w:val="TableParagraph"/>
              <w:spacing w:before="1"/>
              <w:rPr>
                <w:b/>
                <w:sz w:val="21"/>
              </w:rPr>
            </w:pPr>
          </w:p>
          <w:p>
            <w:pPr>
              <w:pStyle w:val="TableParagraph"/>
              <w:spacing w:line="263" w:lineRule="exact"/>
              <w:ind w:left="-1"/>
              <w:jc w:val="center"/>
              <w:rPr>
                <w:sz w:val="22"/>
              </w:rPr>
            </w:pPr>
            <w:r>
              <w:rPr>
                <w:color w:val="231F20"/>
                <w:w w:val="100"/>
                <w:sz w:val="22"/>
                <w:u w:val="single" w:color="231F20"/>
              </w:rPr>
              <w:t> </w:t>
            </w:r>
            <w:r>
              <w:rPr>
                <w:color w:val="231F20"/>
                <w:sz w:val="22"/>
                <w:u w:val="single" w:color="231F20"/>
              </w:rPr>
              <w:t> </w:t>
            </w:r>
            <w:r>
              <w:rPr>
                <w:color w:val="231F20"/>
                <w:spacing w:val="-3"/>
                <w:sz w:val="22"/>
                <w:u w:val="single" w:color="231F20"/>
              </w:rPr>
              <w:t> </w:t>
            </w:r>
            <w:r>
              <w:rPr>
                <w:color w:val="231F20"/>
                <w:sz w:val="22"/>
                <w:u w:val="single" w:color="231F20"/>
              </w:rPr>
              <w:t>331,863</w:t>
            </w:r>
            <w:r>
              <w:rPr>
                <w:color w:val="231F20"/>
                <w:spacing w:val="-18"/>
                <w:sz w:val="22"/>
                <w:u w:val="single" w:color="231F20"/>
              </w:rPr>
              <w:t> </w:t>
            </w:r>
          </w:p>
        </w:tc>
      </w:tr>
    </w:tbl>
    <w:p>
      <w:pPr>
        <w:spacing w:after="0" w:line="263" w:lineRule="exact"/>
        <w:jc w:val="center"/>
        <w:rPr>
          <w:sz w:val="22"/>
        </w:rPr>
        <w:sectPr>
          <w:pgSz w:w="11910" w:h="16840"/>
          <w:pgMar w:header="0" w:footer="490" w:top="960" w:bottom="720" w:left="0" w:right="220"/>
        </w:sectPr>
      </w:pPr>
    </w:p>
    <w:p>
      <w:pPr>
        <w:tabs>
          <w:tab w:pos="9460" w:val="left" w:leader="none"/>
        </w:tabs>
        <w:spacing w:line="241" w:lineRule="exact" w:before="0"/>
        <w:ind w:left="7175" w:right="0" w:firstLine="0"/>
        <w:jc w:val="left"/>
        <w:rPr>
          <w:rFonts w:ascii="Calibri"/>
          <w:sz w:val="20"/>
        </w:rPr>
      </w:pPr>
      <w:r>
        <w:rPr>
          <w:rFonts w:ascii="Calibri"/>
          <w:color w:val="231F20"/>
          <w:sz w:val="20"/>
          <w:u w:val="single" w:color="231F20"/>
        </w:rPr>
        <w:t>2015</w:t>
      </w:r>
      <w:r>
        <w:rPr>
          <w:rFonts w:ascii="Calibri"/>
          <w:color w:val="231F20"/>
          <w:sz w:val="20"/>
        </w:rPr>
        <w:tab/>
      </w:r>
      <w:r>
        <w:rPr>
          <w:rFonts w:ascii="Calibri"/>
          <w:color w:val="231F20"/>
          <w:sz w:val="20"/>
          <w:u w:val="single" w:color="231F20"/>
        </w:rPr>
        <w:t>2014</w:t>
      </w:r>
    </w:p>
    <w:p>
      <w:pPr>
        <w:tabs>
          <w:tab w:pos="7969" w:val="left" w:leader="none"/>
          <w:tab w:pos="9023" w:val="left" w:leader="none"/>
          <w:tab w:pos="10189" w:val="left" w:leader="none"/>
        </w:tabs>
        <w:spacing w:before="12"/>
        <w:ind w:left="6851" w:right="0" w:firstLine="0"/>
        <w:jc w:val="left"/>
        <w:rPr>
          <w:rFonts w:ascii="Calibri"/>
          <w:sz w:val="20"/>
        </w:rPr>
      </w:pPr>
      <w:r>
        <w:rPr>
          <w:rFonts w:ascii="Calibri"/>
          <w:color w:val="231F20"/>
          <w:sz w:val="20"/>
        </w:rPr>
        <w:t>$</w:t>
        <w:tab/>
        <w:t>$</w:t>
        <w:tab/>
        <w:t>$</w:t>
        <w:tab/>
        <w:t>$</w:t>
      </w:r>
    </w:p>
    <w:p>
      <w:pPr>
        <w:spacing w:after="0"/>
        <w:jc w:val="left"/>
        <w:rPr>
          <w:rFonts w:ascii="Calibri"/>
          <w:sz w:val="20"/>
        </w:rPr>
        <w:sectPr>
          <w:headerReference w:type="default" r:id="rId74"/>
          <w:footerReference w:type="default" r:id="rId75"/>
          <w:pgSz w:w="11910" w:h="16840"/>
          <w:pgMar w:header="0" w:footer="524" w:top="1540" w:bottom="720" w:left="0" w:right="220"/>
        </w:sectPr>
      </w:pPr>
    </w:p>
    <w:p>
      <w:pPr>
        <w:spacing w:line="242" w:lineRule="auto" w:before="0"/>
        <w:ind w:left="6949" w:right="-14" w:firstLine="136"/>
        <w:jc w:val="left"/>
        <w:rPr>
          <w:rFonts w:ascii="Calibri"/>
          <w:sz w:val="20"/>
        </w:rPr>
      </w:pPr>
      <w:r>
        <w:rPr>
          <w:rFonts w:ascii="Calibri"/>
          <w:color w:val="231F20"/>
          <w:sz w:val="20"/>
        </w:rPr>
        <w:t>Inflows (Outflows)</w:t>
      </w:r>
    </w:p>
    <w:p>
      <w:pPr>
        <w:spacing w:line="242" w:lineRule="auto" w:before="0"/>
        <w:ind w:left="1380" w:right="1584" w:firstLine="1"/>
        <w:jc w:val="center"/>
        <w:rPr>
          <w:rFonts w:ascii="Calibri"/>
          <w:sz w:val="20"/>
        </w:rPr>
      </w:pPr>
      <w:r>
        <w:rPr/>
        <w:br w:type="column"/>
      </w:r>
      <w:r>
        <w:rPr>
          <w:rFonts w:ascii="Calibri"/>
          <w:color w:val="231F20"/>
          <w:sz w:val="20"/>
        </w:rPr>
        <w:t>Inflows (Outflows)</w:t>
      </w:r>
    </w:p>
    <w:p>
      <w:pPr>
        <w:spacing w:after="0" w:line="242" w:lineRule="auto"/>
        <w:jc w:val="center"/>
        <w:rPr>
          <w:rFonts w:ascii="Calibri"/>
          <w:sz w:val="20"/>
        </w:rPr>
        <w:sectPr>
          <w:type w:val="continuous"/>
          <w:pgSz w:w="11910" w:h="16840"/>
          <w:pgMar w:top="0" w:bottom="0" w:left="0" w:right="220"/>
          <w:cols w:num="2" w:equalWidth="0">
            <w:col w:w="7815" w:space="40"/>
            <w:col w:w="3835"/>
          </w:cols>
        </w:sectPr>
      </w:pPr>
    </w:p>
    <w:p>
      <w:pPr>
        <w:pStyle w:val="BodyText"/>
        <w:spacing w:before="8"/>
        <w:rPr>
          <w:rFonts w:ascii="Calibri"/>
          <w:sz w:val="15"/>
        </w:rPr>
      </w:pPr>
    </w:p>
    <w:p>
      <w:pPr>
        <w:spacing w:before="61"/>
        <w:ind w:left="1099" w:right="0" w:firstLine="0"/>
        <w:jc w:val="left"/>
        <w:rPr>
          <w:rFonts w:ascii="Calibri"/>
          <w:sz w:val="20"/>
        </w:rPr>
      </w:pPr>
      <w:r>
        <w:rPr>
          <w:rFonts w:ascii="Calibri"/>
          <w:color w:val="231F20"/>
          <w:sz w:val="20"/>
        </w:rPr>
        <w:t>Cash flows from operating activities</w:t>
      </w:r>
    </w:p>
    <w:p>
      <w:pPr>
        <w:pStyle w:val="BodyText"/>
        <w:spacing w:before="6"/>
        <w:rPr>
          <w:rFonts w:ascii="Calibri"/>
          <w:sz w:val="20"/>
        </w:rPr>
      </w:pPr>
    </w:p>
    <w:p>
      <w:pPr>
        <w:tabs>
          <w:tab w:pos="6490" w:val="left" w:leader="none"/>
          <w:tab w:pos="8739" w:val="left" w:leader="none"/>
        </w:tabs>
        <w:spacing w:before="0"/>
        <w:ind w:left="1790" w:right="0" w:firstLine="0"/>
        <w:jc w:val="left"/>
        <w:rPr>
          <w:rFonts w:ascii="Calibri"/>
          <w:sz w:val="20"/>
        </w:rPr>
      </w:pPr>
      <w:r>
        <w:rPr>
          <w:rFonts w:ascii="Calibri"/>
          <w:color w:val="231F20"/>
          <w:sz w:val="20"/>
        </w:rPr>
        <w:t>Grant Income</w:t>
        <w:tab/>
        <w:t>1,043,386</w:t>
        <w:tab/>
        <w:t>837,511</w:t>
      </w:r>
    </w:p>
    <w:p>
      <w:pPr>
        <w:tabs>
          <w:tab w:pos="6620" w:val="left" w:leader="none"/>
          <w:tab w:pos="8790" w:val="left" w:leader="none"/>
        </w:tabs>
        <w:spacing w:before="3"/>
        <w:ind w:left="1790" w:right="0" w:firstLine="0"/>
        <w:jc w:val="left"/>
        <w:rPr>
          <w:rFonts w:ascii="Calibri"/>
          <w:sz w:val="20"/>
        </w:rPr>
      </w:pPr>
      <w:r>
        <w:rPr>
          <w:rFonts w:ascii="Calibri"/>
          <w:color w:val="231F20"/>
          <w:sz w:val="20"/>
        </w:rPr>
        <w:t>Interest</w:t>
      </w:r>
      <w:r>
        <w:rPr>
          <w:rFonts w:ascii="Calibri"/>
          <w:color w:val="231F20"/>
          <w:spacing w:val="1"/>
          <w:sz w:val="20"/>
        </w:rPr>
        <w:t> </w:t>
      </w:r>
      <w:r>
        <w:rPr>
          <w:rFonts w:ascii="Calibri"/>
          <w:color w:val="231F20"/>
          <w:sz w:val="20"/>
        </w:rPr>
        <w:t>Received</w:t>
        <w:tab/>
        <w:t>16,640</w:t>
        <w:tab/>
        <w:t>12,604</w:t>
      </w:r>
    </w:p>
    <w:p>
      <w:pPr>
        <w:tabs>
          <w:tab w:pos="6670" w:val="left" w:leader="none"/>
          <w:tab w:pos="8843" w:val="left" w:leader="none"/>
        </w:tabs>
        <w:spacing w:before="3"/>
        <w:ind w:left="1790" w:right="0" w:firstLine="0"/>
        <w:jc w:val="left"/>
        <w:rPr>
          <w:rFonts w:ascii="Calibri"/>
          <w:sz w:val="20"/>
        </w:rPr>
      </w:pPr>
      <w:r>
        <w:rPr>
          <w:rFonts w:ascii="Calibri"/>
          <w:color w:val="231F20"/>
          <w:sz w:val="20"/>
        </w:rPr>
        <w:t>Membership and Donations</w:t>
        <w:tab/>
        <w:t>6,468</w:t>
        <w:tab/>
        <w:t>1,913</w:t>
      </w:r>
    </w:p>
    <w:p>
      <w:pPr>
        <w:tabs>
          <w:tab w:pos="6255" w:val="left" w:leader="none"/>
          <w:tab w:pos="6507" w:val="left" w:leader="none"/>
          <w:tab w:pos="6670" w:val="left" w:leader="none"/>
          <w:tab w:pos="7535" w:val="left" w:leader="none"/>
          <w:tab w:pos="8490" w:val="left" w:leader="none"/>
          <w:tab w:pos="8843" w:val="left" w:leader="none"/>
        </w:tabs>
        <w:spacing w:line="242" w:lineRule="auto" w:before="3"/>
        <w:ind w:left="1790" w:right="2134" w:firstLine="0"/>
        <w:jc w:val="left"/>
        <w:rPr>
          <w:rFonts w:ascii="Calibri"/>
          <w:sz w:val="20"/>
        </w:rPr>
      </w:pPr>
      <w:r>
        <w:rPr>
          <w:rFonts w:ascii="Calibri"/>
          <w:color w:val="231F20"/>
          <w:sz w:val="20"/>
        </w:rPr>
        <w:t>Other</w:t>
      </w:r>
      <w:r>
        <w:rPr>
          <w:rFonts w:ascii="Calibri"/>
          <w:color w:val="231F20"/>
          <w:spacing w:val="0"/>
          <w:sz w:val="20"/>
        </w:rPr>
        <w:t> </w:t>
      </w:r>
      <w:r>
        <w:rPr>
          <w:rFonts w:ascii="Calibri"/>
          <w:color w:val="231F20"/>
          <w:sz w:val="20"/>
        </w:rPr>
        <w:t>Income</w:t>
        <w:tab/>
        <w:tab/>
        <w:tab/>
        <w:t>5,292</w:t>
        <w:tab/>
        <w:tab/>
        <w:tab/>
        <w:t>2,119 Payments to Suppliers</w:t>
      </w:r>
      <w:r>
        <w:rPr>
          <w:rFonts w:ascii="Calibri"/>
          <w:color w:val="231F20"/>
          <w:spacing w:val="2"/>
          <w:sz w:val="20"/>
        </w:rPr>
        <w:t> </w:t>
      </w:r>
      <w:r>
        <w:rPr>
          <w:rFonts w:ascii="Calibri"/>
          <w:color w:val="231F20"/>
          <w:sz w:val="20"/>
        </w:rPr>
        <w:t>and</w:t>
      </w:r>
      <w:r>
        <w:rPr>
          <w:rFonts w:ascii="Calibri"/>
          <w:color w:val="231F20"/>
          <w:spacing w:val="0"/>
          <w:sz w:val="20"/>
        </w:rPr>
        <w:t> </w:t>
      </w:r>
      <w:r>
        <w:rPr>
          <w:rFonts w:ascii="Calibri"/>
          <w:color w:val="231F20"/>
          <w:sz w:val="20"/>
        </w:rPr>
        <w:t>Employees</w:t>
        <w:tab/>
      </w:r>
      <w:r>
        <w:rPr>
          <w:rFonts w:ascii="Calibri"/>
          <w:color w:val="231F20"/>
          <w:sz w:val="20"/>
          <w:u w:val="single" w:color="231F20"/>
        </w:rPr>
        <w:t> </w:t>
        <w:tab/>
        <w:t>(861,071)</w:t>
        <w:tab/>
      </w:r>
      <w:r>
        <w:rPr>
          <w:rFonts w:ascii="Calibri"/>
          <w:color w:val="231F20"/>
          <w:sz w:val="20"/>
        </w:rPr>
        <w:tab/>
      </w:r>
      <w:r>
        <w:rPr>
          <w:rFonts w:ascii="Calibri"/>
          <w:color w:val="231F20"/>
          <w:sz w:val="20"/>
          <w:u w:val="single" w:color="231F20"/>
        </w:rPr>
        <w:t>(730,549)</w:t>
      </w:r>
      <w:r>
        <w:rPr>
          <w:rFonts w:ascii="Calibri"/>
          <w:color w:val="231F20"/>
          <w:spacing w:val="-8"/>
          <w:sz w:val="20"/>
          <w:u w:val="single" w:color="231F20"/>
        </w:rPr>
        <w:t> </w:t>
      </w:r>
    </w:p>
    <w:p>
      <w:pPr>
        <w:pStyle w:val="BodyText"/>
        <w:spacing w:before="5"/>
        <w:rPr>
          <w:rFonts w:ascii="Calibri"/>
          <w:sz w:val="20"/>
        </w:rPr>
      </w:pPr>
    </w:p>
    <w:p>
      <w:pPr>
        <w:tabs>
          <w:tab w:pos="7532" w:val="left" w:leader="none"/>
          <w:tab w:pos="9640" w:val="left" w:leader="none"/>
          <w:tab w:pos="9906" w:val="left" w:leader="none"/>
          <w:tab w:pos="10828" w:val="left" w:leader="none"/>
        </w:tabs>
        <w:spacing w:line="487" w:lineRule="auto" w:before="0"/>
        <w:ind w:left="1099" w:right="856" w:firstLine="364"/>
        <w:jc w:val="left"/>
        <w:rPr>
          <w:rFonts w:ascii="Calibri"/>
          <w:sz w:val="20"/>
        </w:rPr>
      </w:pPr>
      <w:r>
        <w:rPr>
          <w:rFonts w:ascii="Calibri"/>
          <w:color w:val="231F20"/>
          <w:sz w:val="20"/>
        </w:rPr>
        <w:t>Net cash provided by/(used in)</w:t>
      </w:r>
      <w:r>
        <w:rPr>
          <w:rFonts w:ascii="Calibri"/>
          <w:color w:val="231F20"/>
          <w:spacing w:val="-2"/>
          <w:sz w:val="20"/>
        </w:rPr>
        <w:t> </w:t>
      </w:r>
      <w:r>
        <w:rPr>
          <w:rFonts w:ascii="Calibri"/>
          <w:color w:val="231F20"/>
          <w:sz w:val="20"/>
        </w:rPr>
        <w:t>operating activities</w:t>
        <w:tab/>
      </w:r>
      <w:r>
        <w:rPr>
          <w:rFonts w:ascii="Calibri"/>
          <w:color w:val="231F20"/>
          <w:sz w:val="20"/>
          <w:u w:val="single" w:color="231F20"/>
        </w:rPr>
        <w:t>210,715</w:t>
      </w:r>
      <w:r>
        <w:rPr>
          <w:rFonts w:ascii="Calibri"/>
          <w:color w:val="231F20"/>
          <w:sz w:val="20"/>
        </w:rPr>
        <w:tab/>
      </w:r>
      <w:r>
        <w:rPr>
          <w:rFonts w:ascii="Calibri"/>
          <w:color w:val="231F20"/>
          <w:sz w:val="20"/>
          <w:u w:val="single" w:color="231F20"/>
        </w:rPr>
        <w:t> </w:t>
        <w:tab/>
        <w:t>123,598</w:t>
        <w:tab/>
      </w:r>
      <w:r>
        <w:rPr>
          <w:rFonts w:ascii="Calibri"/>
          <w:color w:val="231F20"/>
          <w:sz w:val="20"/>
        </w:rPr>
        <w:t> Cash flows from investing activities</w:t>
      </w:r>
    </w:p>
    <w:p>
      <w:pPr>
        <w:tabs>
          <w:tab w:pos="6850" w:val="left" w:leader="none"/>
          <w:tab w:pos="9023" w:val="left" w:leader="none"/>
        </w:tabs>
        <w:spacing w:line="242" w:lineRule="exact" w:before="0"/>
        <w:ind w:left="1790" w:right="0" w:firstLine="0"/>
        <w:jc w:val="left"/>
        <w:rPr>
          <w:rFonts w:ascii="Calibri"/>
          <w:sz w:val="20"/>
        </w:rPr>
      </w:pPr>
      <w:r>
        <w:rPr>
          <w:rFonts w:ascii="Calibri"/>
          <w:color w:val="231F20"/>
          <w:sz w:val="20"/>
        </w:rPr>
        <w:t>Non-operating</w:t>
      </w:r>
      <w:r>
        <w:rPr>
          <w:rFonts w:ascii="Calibri"/>
          <w:color w:val="231F20"/>
          <w:spacing w:val="-1"/>
          <w:sz w:val="20"/>
        </w:rPr>
        <w:t> </w:t>
      </w:r>
      <w:r>
        <w:rPr>
          <w:rFonts w:ascii="Calibri"/>
          <w:color w:val="231F20"/>
          <w:sz w:val="20"/>
        </w:rPr>
        <w:t>income/loss</w:t>
        <w:tab/>
        <w:t>0</w:t>
        <w:tab/>
        <w:t>0</w:t>
      </w:r>
    </w:p>
    <w:p>
      <w:pPr>
        <w:tabs>
          <w:tab w:pos="6620" w:val="left" w:leader="none"/>
          <w:tab w:pos="9023" w:val="left" w:leader="none"/>
        </w:tabs>
        <w:spacing w:before="3"/>
        <w:ind w:left="1790" w:right="0" w:firstLine="0"/>
        <w:jc w:val="left"/>
        <w:rPr>
          <w:rFonts w:ascii="Calibri"/>
          <w:sz w:val="20"/>
        </w:rPr>
      </w:pPr>
      <w:r>
        <w:rPr>
          <w:rFonts w:ascii="Calibri"/>
          <w:color w:val="231F20"/>
          <w:sz w:val="20"/>
        </w:rPr>
        <w:t>Proceeds from sale of property, plant</w:t>
      </w:r>
      <w:r>
        <w:rPr>
          <w:rFonts w:ascii="Calibri"/>
          <w:color w:val="231F20"/>
          <w:spacing w:val="0"/>
          <w:sz w:val="20"/>
        </w:rPr>
        <w:t> </w:t>
      </w:r>
      <w:r>
        <w:rPr>
          <w:rFonts w:ascii="Calibri"/>
          <w:color w:val="231F20"/>
          <w:sz w:val="20"/>
        </w:rPr>
        <w:t>and equipment</w:t>
        <w:tab/>
        <w:t>10,572</w:t>
        <w:tab/>
        <w:t>0</w:t>
      </w:r>
    </w:p>
    <w:p>
      <w:pPr>
        <w:tabs>
          <w:tab w:pos="6850" w:val="left" w:leader="none"/>
          <w:tab w:pos="9023" w:val="left" w:leader="none"/>
        </w:tabs>
        <w:spacing w:before="3"/>
        <w:ind w:left="1790" w:right="0" w:firstLine="0"/>
        <w:jc w:val="left"/>
        <w:rPr>
          <w:rFonts w:ascii="Calibri"/>
          <w:sz w:val="20"/>
        </w:rPr>
      </w:pPr>
      <w:r>
        <w:rPr>
          <w:rFonts w:ascii="Calibri"/>
          <w:color w:val="231F20"/>
          <w:sz w:val="20"/>
        </w:rPr>
        <w:t>Payment for property, plant and equipment</w:t>
        <w:tab/>
        <w:t>0</w:t>
        <w:tab/>
        <w:t>0</w:t>
      </w:r>
    </w:p>
    <w:p>
      <w:pPr>
        <w:pStyle w:val="BodyText"/>
        <w:spacing w:before="6"/>
        <w:rPr>
          <w:rFonts w:ascii="Calibri"/>
          <w:sz w:val="20"/>
        </w:rPr>
      </w:pPr>
    </w:p>
    <w:p>
      <w:pPr>
        <w:tabs>
          <w:tab w:pos="7532" w:val="left" w:leader="none"/>
          <w:tab w:pos="9640" w:val="left" w:leader="none"/>
          <w:tab w:pos="9906" w:val="left" w:leader="none"/>
          <w:tab w:pos="10189" w:val="left" w:leader="none"/>
          <w:tab w:pos="10828" w:val="left" w:leader="none"/>
        </w:tabs>
        <w:spacing w:line="487" w:lineRule="auto" w:before="0"/>
        <w:ind w:left="1099" w:right="856" w:firstLine="364"/>
        <w:jc w:val="left"/>
        <w:rPr>
          <w:rFonts w:ascii="Calibri"/>
          <w:sz w:val="20"/>
        </w:rPr>
      </w:pPr>
      <w:r>
        <w:rPr>
          <w:rFonts w:ascii="Calibri"/>
          <w:color w:val="231F20"/>
          <w:sz w:val="20"/>
        </w:rPr>
        <w:t>Net cash provided by/(used in)  or from</w:t>
      </w:r>
      <w:r>
        <w:rPr>
          <w:rFonts w:ascii="Calibri"/>
          <w:color w:val="231F20"/>
          <w:spacing w:val="-1"/>
          <w:sz w:val="20"/>
        </w:rPr>
        <w:t> </w:t>
      </w:r>
      <w:r>
        <w:rPr>
          <w:rFonts w:ascii="Calibri"/>
          <w:color w:val="231F20"/>
          <w:sz w:val="20"/>
        </w:rPr>
        <w:t>investing activities</w:t>
        <w:tab/>
      </w:r>
      <w:r>
        <w:rPr>
          <w:rFonts w:ascii="Calibri"/>
          <w:color w:val="231F20"/>
          <w:sz w:val="20"/>
          <w:u w:val="single" w:color="231F20"/>
        </w:rPr>
        <w:t>10,572</w:t>
      </w:r>
      <w:r>
        <w:rPr>
          <w:rFonts w:ascii="Calibri"/>
          <w:color w:val="231F20"/>
          <w:sz w:val="20"/>
        </w:rPr>
        <w:tab/>
      </w:r>
      <w:r>
        <w:rPr>
          <w:rFonts w:ascii="Calibri"/>
          <w:color w:val="231F20"/>
          <w:sz w:val="20"/>
          <w:u w:val="single" w:color="231F20"/>
        </w:rPr>
        <w:t> </w:t>
        <w:tab/>
        <w:tab/>
        <w:t>0</w:t>
        <w:tab/>
      </w:r>
      <w:r>
        <w:rPr>
          <w:rFonts w:ascii="Calibri"/>
          <w:color w:val="231F20"/>
          <w:sz w:val="20"/>
        </w:rPr>
        <w:t> Net increase/decrease in cash held</w:t>
        <w:tab/>
      </w:r>
      <w:r>
        <w:rPr>
          <w:rFonts w:ascii="Calibri"/>
          <w:color w:val="231F20"/>
          <w:sz w:val="20"/>
          <w:u w:val="single" w:color="231F20"/>
        </w:rPr>
        <w:t>221,287</w:t>
      </w:r>
      <w:r>
        <w:rPr>
          <w:rFonts w:ascii="Calibri"/>
          <w:color w:val="231F20"/>
          <w:sz w:val="20"/>
        </w:rPr>
        <w:tab/>
      </w:r>
      <w:r>
        <w:rPr>
          <w:rFonts w:ascii="Calibri"/>
          <w:color w:val="231F20"/>
          <w:sz w:val="20"/>
          <w:u w:val="single" w:color="231F20"/>
        </w:rPr>
        <w:t> </w:t>
        <w:tab/>
        <w:t>123,597</w:t>
        <w:tab/>
      </w:r>
    </w:p>
    <w:p>
      <w:pPr>
        <w:tabs>
          <w:tab w:pos="7532" w:val="left" w:leader="none"/>
          <w:tab w:pos="9640" w:val="left" w:leader="none"/>
          <w:tab w:pos="9906" w:val="left" w:leader="none"/>
          <w:tab w:pos="10828" w:val="left" w:leader="none"/>
        </w:tabs>
        <w:spacing w:line="242" w:lineRule="exact" w:before="0"/>
        <w:ind w:left="1099" w:right="0" w:firstLine="0"/>
        <w:jc w:val="left"/>
        <w:rPr>
          <w:rFonts w:ascii="Calibri"/>
          <w:sz w:val="20"/>
        </w:rPr>
      </w:pPr>
      <w:r>
        <w:rPr>
          <w:rFonts w:ascii="Calibri"/>
          <w:color w:val="231F20"/>
          <w:sz w:val="20"/>
        </w:rPr>
        <w:t>Cash at beginning of the financial</w:t>
      </w:r>
      <w:r>
        <w:rPr>
          <w:rFonts w:ascii="Calibri"/>
          <w:color w:val="231F20"/>
          <w:spacing w:val="-1"/>
          <w:sz w:val="20"/>
        </w:rPr>
        <w:t> </w:t>
      </w:r>
      <w:r>
        <w:rPr>
          <w:rFonts w:ascii="Calibri"/>
          <w:color w:val="231F20"/>
          <w:sz w:val="20"/>
        </w:rPr>
        <w:t>year</w:t>
        <w:tab/>
      </w:r>
      <w:r>
        <w:rPr>
          <w:rFonts w:ascii="Calibri"/>
          <w:color w:val="231F20"/>
          <w:sz w:val="20"/>
          <w:u w:val="single" w:color="231F20"/>
        </w:rPr>
        <w:t>547,570</w:t>
      </w:r>
      <w:r>
        <w:rPr>
          <w:rFonts w:ascii="Calibri"/>
          <w:color w:val="231F20"/>
          <w:sz w:val="20"/>
        </w:rPr>
        <w:tab/>
      </w:r>
      <w:r>
        <w:rPr>
          <w:rFonts w:ascii="Calibri"/>
          <w:color w:val="231F20"/>
          <w:sz w:val="20"/>
          <w:u w:val="single" w:color="231F20"/>
        </w:rPr>
        <w:t> </w:t>
        <w:tab/>
        <w:t>423,972</w:t>
        <w:tab/>
      </w:r>
    </w:p>
    <w:p>
      <w:pPr>
        <w:pStyle w:val="BodyText"/>
        <w:spacing w:before="11"/>
        <w:rPr>
          <w:rFonts w:ascii="Calibri"/>
          <w:sz w:val="20"/>
        </w:rPr>
      </w:pPr>
    </w:p>
    <w:p>
      <w:pPr>
        <w:tabs>
          <w:tab w:pos="7532" w:val="left" w:leader="none"/>
          <w:tab w:pos="9640" w:val="left" w:leader="none"/>
          <w:tab w:pos="9906" w:val="left" w:leader="none"/>
          <w:tab w:pos="10828" w:val="left" w:leader="none"/>
        </w:tabs>
        <w:spacing w:before="0" w:after="18"/>
        <w:ind w:left="1099" w:right="0" w:firstLine="0"/>
        <w:jc w:val="left"/>
        <w:rPr>
          <w:rFonts w:ascii="Calibri"/>
          <w:sz w:val="20"/>
        </w:rPr>
      </w:pPr>
      <w:r>
        <w:rPr>
          <w:rFonts w:ascii="Calibri"/>
          <w:color w:val="231F20"/>
          <w:sz w:val="20"/>
        </w:rPr>
        <w:t>Cash at the end of the</w:t>
      </w:r>
      <w:r>
        <w:rPr>
          <w:rFonts w:ascii="Calibri"/>
          <w:color w:val="231F20"/>
          <w:spacing w:val="0"/>
          <w:sz w:val="20"/>
        </w:rPr>
        <w:t> </w:t>
      </w:r>
      <w:r>
        <w:rPr>
          <w:rFonts w:ascii="Calibri"/>
          <w:color w:val="231F20"/>
          <w:sz w:val="20"/>
        </w:rPr>
        <w:t>financial</w:t>
      </w:r>
      <w:r>
        <w:rPr>
          <w:rFonts w:ascii="Calibri"/>
          <w:color w:val="231F20"/>
          <w:spacing w:val="-1"/>
          <w:sz w:val="20"/>
        </w:rPr>
        <w:t> </w:t>
      </w:r>
      <w:r>
        <w:rPr>
          <w:rFonts w:ascii="Calibri"/>
          <w:color w:val="231F20"/>
          <w:sz w:val="20"/>
        </w:rPr>
        <w:t>year</w:t>
        <w:tab/>
      </w:r>
      <w:r>
        <w:rPr>
          <w:rFonts w:ascii="Calibri"/>
          <w:color w:val="231F20"/>
          <w:sz w:val="20"/>
          <w:u w:val="single" w:color="231F20"/>
        </w:rPr>
        <w:t>768,857</w:t>
      </w:r>
      <w:r>
        <w:rPr>
          <w:rFonts w:ascii="Calibri"/>
          <w:color w:val="231F20"/>
          <w:sz w:val="20"/>
        </w:rPr>
        <w:tab/>
      </w:r>
      <w:r>
        <w:rPr>
          <w:rFonts w:ascii="Calibri"/>
          <w:color w:val="231F20"/>
          <w:sz w:val="20"/>
          <w:u w:val="single" w:color="231F20"/>
        </w:rPr>
        <w:t> </w:t>
        <w:tab/>
        <w:t>547,570</w:t>
        <w:tab/>
      </w:r>
    </w:p>
    <w:p>
      <w:pPr>
        <w:tabs>
          <w:tab w:pos="9631" w:val="left" w:leader="none"/>
        </w:tabs>
        <w:spacing w:line="20" w:lineRule="exact"/>
        <w:ind w:left="7523" w:right="0" w:firstLine="0"/>
        <w:rPr>
          <w:rFonts w:ascii="Calibri"/>
          <w:sz w:val="2"/>
        </w:rPr>
      </w:pPr>
      <w:r>
        <w:rPr>
          <w:rFonts w:ascii="Calibri"/>
          <w:sz w:val="2"/>
        </w:rPr>
        <w:pict>
          <v:group style="width:48pt;height:.85pt;mso-position-horizontal-relative:char;mso-position-vertical-relative:line" coordorigin="0,0" coordsize="960,17">
            <v:line style="position:absolute" from="0,8" to="960,8" stroked="true" strokeweight=".84pt" strokecolor="#231f20">
              <v:stroke dashstyle="solid"/>
            </v:line>
          </v:group>
        </w:pict>
      </w:r>
      <w:r>
        <w:rPr>
          <w:rFonts w:ascii="Calibri"/>
          <w:sz w:val="2"/>
        </w:rPr>
      </w:r>
      <w:r>
        <w:rPr>
          <w:rFonts w:ascii="Calibri"/>
          <w:sz w:val="2"/>
        </w:rPr>
        <w:tab/>
      </w:r>
      <w:r>
        <w:rPr>
          <w:rFonts w:ascii="Calibri"/>
          <w:sz w:val="2"/>
        </w:rPr>
        <w:pict>
          <v:group style="width:59.4pt;height:.85pt;mso-position-horizontal-relative:char;mso-position-vertical-relative:line" coordorigin="0,0" coordsize="1188,17">
            <v:line style="position:absolute" from="0,8" to="1188,8" stroked="true" strokeweight=".84pt" strokecolor="#231f20">
              <v:stroke dashstyle="solid"/>
            </v:line>
          </v:group>
        </w:pict>
      </w:r>
      <w:r>
        <w:rPr>
          <w:rFonts w:ascii="Calibri"/>
          <w:sz w:val="2"/>
        </w:rPr>
      </w:r>
    </w:p>
    <w:p>
      <w:pPr>
        <w:spacing w:after="0" w:line="20" w:lineRule="exact"/>
        <w:rPr>
          <w:rFonts w:ascii="Calibri"/>
          <w:sz w:val="2"/>
        </w:rPr>
        <w:sectPr>
          <w:type w:val="continuous"/>
          <w:pgSz w:w="11910" w:h="16840"/>
          <w:pgMar w:top="0" w:bottom="0" w:left="0" w:right="220"/>
        </w:sectPr>
      </w:pPr>
    </w:p>
    <w:p>
      <w:pPr>
        <w:pStyle w:val="BodyText"/>
        <w:rPr>
          <w:rFonts w:ascii="Calibri"/>
          <w:sz w:val="20"/>
        </w:rPr>
      </w:pPr>
    </w:p>
    <w:p>
      <w:pPr>
        <w:pStyle w:val="BodyText"/>
        <w:rPr>
          <w:rFonts w:ascii="Calibri"/>
          <w:sz w:val="16"/>
        </w:rPr>
      </w:pPr>
    </w:p>
    <w:p>
      <w:pPr>
        <w:pStyle w:val="ListParagraph"/>
        <w:numPr>
          <w:ilvl w:val="0"/>
          <w:numId w:val="6"/>
        </w:numPr>
        <w:tabs>
          <w:tab w:pos="1460" w:val="left" w:leader="none"/>
          <w:tab w:pos="8867" w:val="left" w:leader="none"/>
          <w:tab w:pos="10036" w:val="left" w:leader="none"/>
        </w:tabs>
        <w:spacing w:line="240" w:lineRule="auto" w:before="61" w:after="0"/>
        <w:ind w:left="1459" w:right="0" w:hanging="360"/>
        <w:jc w:val="left"/>
        <w:rPr>
          <w:rFonts w:ascii="Calibri"/>
          <w:sz w:val="20"/>
        </w:rPr>
      </w:pPr>
      <w:r>
        <w:rPr>
          <w:rFonts w:ascii="Calibri"/>
          <w:b/>
          <w:color w:val="231F20"/>
          <w:sz w:val="20"/>
        </w:rPr>
        <w:t>Reconciliation of</w:t>
      </w:r>
      <w:r>
        <w:rPr>
          <w:rFonts w:ascii="Calibri"/>
          <w:b/>
          <w:color w:val="231F20"/>
          <w:spacing w:val="0"/>
          <w:sz w:val="20"/>
        </w:rPr>
        <w:t> </w:t>
      </w:r>
      <w:r>
        <w:rPr>
          <w:rFonts w:ascii="Calibri"/>
          <w:b/>
          <w:color w:val="231F20"/>
          <w:sz w:val="20"/>
        </w:rPr>
        <w:t>Cash</w:t>
        <w:tab/>
      </w:r>
      <w:r>
        <w:rPr>
          <w:rFonts w:ascii="Calibri"/>
          <w:color w:val="231F20"/>
          <w:sz w:val="20"/>
          <w:u w:val="single" w:color="231F20"/>
        </w:rPr>
        <w:t>2015</w:t>
      </w:r>
      <w:r>
        <w:rPr>
          <w:rFonts w:ascii="Calibri"/>
          <w:color w:val="231F20"/>
          <w:sz w:val="20"/>
        </w:rPr>
        <w:tab/>
      </w:r>
      <w:r>
        <w:rPr>
          <w:rFonts w:ascii="Calibri"/>
          <w:color w:val="231F20"/>
          <w:sz w:val="20"/>
          <w:u w:val="single" w:color="231F20"/>
        </w:rPr>
        <w:t>2014</w:t>
      </w:r>
    </w:p>
    <w:p>
      <w:pPr>
        <w:tabs>
          <w:tab w:pos="1166" w:val="left" w:leader="none"/>
        </w:tabs>
        <w:spacing w:before="3"/>
        <w:ind w:left="0" w:right="1392" w:firstLine="0"/>
        <w:jc w:val="right"/>
        <w:rPr>
          <w:rFonts w:ascii="Calibri"/>
          <w:sz w:val="20"/>
        </w:rPr>
      </w:pPr>
      <w:r>
        <w:rPr>
          <w:rFonts w:ascii="Calibri"/>
          <w:color w:val="231F20"/>
          <w:sz w:val="20"/>
        </w:rPr>
        <w:t>$</w:t>
        <w:tab/>
        <w:t>$</w:t>
      </w:r>
    </w:p>
    <w:p>
      <w:pPr>
        <w:spacing w:line="242" w:lineRule="auto" w:before="3"/>
        <w:ind w:left="1608" w:right="4022" w:firstLine="0"/>
        <w:jc w:val="left"/>
        <w:rPr>
          <w:rFonts w:ascii="Calibri"/>
          <w:sz w:val="20"/>
        </w:rPr>
      </w:pPr>
      <w:r>
        <w:rPr>
          <w:rFonts w:ascii="Calibri"/>
          <w:color w:val="231F20"/>
          <w:sz w:val="20"/>
        </w:rPr>
        <w:t>For the purposes of the statement of cash flows, cash includes cash on hand and in banks and investments in money market instruments, net of outstanding bank overdrafts. Cash at the end of the financial year as shown in the statement of cash flows is reconciled to the related items in the balance sheet as follows:</w:t>
      </w:r>
    </w:p>
    <w:p>
      <w:pPr>
        <w:pStyle w:val="BodyText"/>
        <w:rPr>
          <w:rFonts w:ascii="Calibri"/>
          <w:sz w:val="20"/>
        </w:rPr>
      </w:pPr>
    </w:p>
    <w:p>
      <w:pPr>
        <w:pStyle w:val="BodyText"/>
        <w:spacing w:before="9"/>
        <w:rPr>
          <w:rFonts w:ascii="Calibri"/>
          <w:sz w:val="20"/>
        </w:rPr>
      </w:pPr>
    </w:p>
    <w:p>
      <w:pPr>
        <w:tabs>
          <w:tab w:pos="8739" w:val="left" w:leader="none"/>
          <w:tab w:pos="9906" w:val="left" w:leader="none"/>
        </w:tabs>
        <w:spacing w:before="0"/>
        <w:ind w:left="1608" w:right="0" w:firstLine="0"/>
        <w:jc w:val="left"/>
        <w:rPr>
          <w:rFonts w:ascii="Calibri"/>
          <w:sz w:val="20"/>
        </w:rPr>
      </w:pPr>
      <w:r>
        <w:rPr>
          <w:rFonts w:ascii="Calibri"/>
          <w:color w:val="231F20"/>
          <w:sz w:val="20"/>
        </w:rPr>
        <w:t>Cash</w:t>
        <w:tab/>
        <w:t>368,765</w:t>
        <w:tab/>
        <w:t>410,479</w:t>
      </w:r>
    </w:p>
    <w:p>
      <w:pPr>
        <w:tabs>
          <w:tab w:pos="8490" w:val="left" w:leader="none"/>
          <w:tab w:pos="8739" w:val="left" w:leader="none"/>
          <w:tab w:pos="9906" w:val="left" w:leader="none"/>
          <w:tab w:pos="10828" w:val="left" w:leader="none"/>
        </w:tabs>
        <w:spacing w:before="4"/>
        <w:ind w:left="1608" w:right="0" w:firstLine="0"/>
        <w:jc w:val="left"/>
        <w:rPr>
          <w:rFonts w:ascii="Calibri"/>
          <w:sz w:val="20"/>
        </w:rPr>
      </w:pPr>
      <w:r>
        <w:rPr>
          <w:rFonts w:ascii="Calibri"/>
          <w:color w:val="231F20"/>
          <w:sz w:val="20"/>
        </w:rPr>
        <w:t>Deposits</w:t>
      </w:r>
      <w:r>
        <w:rPr>
          <w:rFonts w:ascii="Calibri"/>
          <w:color w:val="231F20"/>
          <w:spacing w:val="0"/>
          <w:sz w:val="20"/>
        </w:rPr>
        <w:t> </w:t>
      </w:r>
      <w:r>
        <w:rPr>
          <w:rFonts w:ascii="Calibri"/>
          <w:color w:val="231F20"/>
          <w:sz w:val="20"/>
        </w:rPr>
        <w:t>at Call</w:t>
        <w:tab/>
      </w:r>
      <w:r>
        <w:rPr>
          <w:rFonts w:ascii="Calibri"/>
          <w:color w:val="231F20"/>
          <w:sz w:val="20"/>
          <w:u w:val="single" w:color="231F20"/>
        </w:rPr>
        <w:t> </w:t>
        <w:tab/>
        <w:t>400,091</w:t>
        <w:tab/>
        <w:t>137,091</w:t>
        <w:tab/>
      </w:r>
    </w:p>
    <w:p>
      <w:pPr>
        <w:tabs>
          <w:tab w:pos="249" w:val="left" w:leader="none"/>
          <w:tab w:pos="1416" w:val="left" w:leader="none"/>
          <w:tab w:pos="2337" w:val="left" w:leader="none"/>
        </w:tabs>
        <w:spacing w:before="3"/>
        <w:ind w:left="0" w:right="856" w:firstLine="0"/>
        <w:jc w:val="right"/>
        <w:rPr>
          <w:rFonts w:ascii="Calibri"/>
          <w:sz w:val="20"/>
        </w:rPr>
      </w:pPr>
      <w:r>
        <w:rPr>
          <w:rFonts w:ascii="Calibri"/>
          <w:color w:val="231F20"/>
          <w:w w:val="100"/>
          <w:sz w:val="20"/>
          <w:u w:val="single" w:color="231F20"/>
        </w:rPr>
        <w:t> </w:t>
      </w:r>
      <w:r>
        <w:rPr>
          <w:rFonts w:ascii="Calibri"/>
          <w:color w:val="231F20"/>
          <w:sz w:val="20"/>
          <w:u w:val="single" w:color="231F20"/>
        </w:rPr>
        <w:tab/>
        <w:t>768,857</w:t>
        <w:tab/>
      </w:r>
      <w:r>
        <w:rPr>
          <w:rFonts w:ascii="Calibri"/>
          <w:color w:val="231F20"/>
          <w:spacing w:val="-1"/>
          <w:sz w:val="20"/>
          <w:u w:val="single" w:color="231F20"/>
        </w:rPr>
        <w:t>547,570</w:t>
        <w:tab/>
      </w:r>
    </w:p>
    <w:p>
      <w:pPr>
        <w:pStyle w:val="BodyText"/>
        <w:spacing w:before="9"/>
        <w:rPr>
          <w:rFonts w:ascii="Calibri"/>
          <w:sz w:val="23"/>
        </w:rPr>
      </w:pPr>
    </w:p>
    <w:tbl>
      <w:tblPr>
        <w:tblW w:w="0" w:type="auto"/>
        <w:jc w:val="left"/>
        <w:tblInd w:w="1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3"/>
        <w:gridCol w:w="2371"/>
        <w:gridCol w:w="900"/>
      </w:tblGrid>
      <w:tr>
        <w:trPr>
          <w:trHeight w:val="1213" w:hRule="atLeast"/>
        </w:trPr>
        <w:tc>
          <w:tcPr>
            <w:tcW w:w="6263" w:type="dxa"/>
          </w:tcPr>
          <w:p>
            <w:pPr>
              <w:pStyle w:val="TableParagraph"/>
              <w:numPr>
                <w:ilvl w:val="0"/>
                <w:numId w:val="7"/>
              </w:numPr>
              <w:tabs>
                <w:tab w:pos="559" w:val="left" w:leader="none"/>
                <w:tab w:pos="560" w:val="left" w:leader="none"/>
              </w:tabs>
              <w:spacing w:line="205" w:lineRule="exact" w:before="0" w:after="0"/>
              <w:ind w:left="559" w:right="0" w:hanging="509"/>
              <w:jc w:val="left"/>
              <w:rPr>
                <w:b/>
                <w:sz w:val="20"/>
              </w:rPr>
            </w:pPr>
            <w:r>
              <w:rPr>
                <w:b/>
                <w:color w:val="231F20"/>
                <w:sz w:val="20"/>
              </w:rPr>
              <w:t>Financing Facilities</w:t>
            </w:r>
          </w:p>
          <w:p>
            <w:pPr>
              <w:pStyle w:val="TableParagraph"/>
              <w:spacing w:before="6"/>
              <w:rPr>
                <w:sz w:val="20"/>
              </w:rPr>
            </w:pPr>
          </w:p>
          <w:p>
            <w:pPr>
              <w:pStyle w:val="TableParagraph"/>
              <w:ind w:left="559"/>
              <w:rPr>
                <w:sz w:val="20"/>
              </w:rPr>
            </w:pPr>
            <w:r>
              <w:rPr>
                <w:color w:val="231F20"/>
                <w:sz w:val="20"/>
              </w:rPr>
              <w:t>No facilities are in place as at 30 June 2015</w:t>
            </w:r>
          </w:p>
          <w:p>
            <w:pPr>
              <w:pStyle w:val="TableParagraph"/>
              <w:spacing w:before="6"/>
              <w:rPr>
                <w:sz w:val="20"/>
              </w:rPr>
            </w:pPr>
          </w:p>
          <w:p>
            <w:pPr>
              <w:pStyle w:val="TableParagraph"/>
              <w:numPr>
                <w:ilvl w:val="0"/>
                <w:numId w:val="7"/>
              </w:numPr>
              <w:tabs>
                <w:tab w:pos="559" w:val="left" w:leader="none"/>
                <w:tab w:pos="560" w:val="left" w:leader="none"/>
              </w:tabs>
              <w:spacing w:line="244" w:lineRule="exact" w:before="0" w:after="0"/>
              <w:ind w:left="559" w:right="0" w:hanging="509"/>
              <w:jc w:val="left"/>
              <w:rPr>
                <w:b/>
                <w:sz w:val="20"/>
              </w:rPr>
            </w:pPr>
            <w:r>
              <w:rPr>
                <w:b/>
                <w:color w:val="231F20"/>
                <w:sz w:val="20"/>
              </w:rPr>
              <w:t>Reconciliation of net cash provided by</w:t>
            </w:r>
            <w:r>
              <w:rPr>
                <w:b/>
                <w:color w:val="231F20"/>
                <w:spacing w:val="2"/>
                <w:sz w:val="20"/>
              </w:rPr>
              <w:t> </w:t>
            </w:r>
            <w:r>
              <w:rPr>
                <w:b/>
                <w:color w:val="231F20"/>
                <w:sz w:val="20"/>
              </w:rPr>
              <w:t>operating</w:t>
            </w:r>
          </w:p>
        </w:tc>
        <w:tc>
          <w:tcPr>
            <w:tcW w:w="2371" w:type="dxa"/>
          </w:tcPr>
          <w:p>
            <w:pPr>
              <w:pStyle w:val="TableParagraph"/>
              <w:rPr>
                <w:sz w:val="20"/>
              </w:rPr>
            </w:pPr>
          </w:p>
          <w:p>
            <w:pPr>
              <w:pStyle w:val="TableParagraph"/>
              <w:rPr>
                <w:sz w:val="20"/>
              </w:rPr>
            </w:pPr>
          </w:p>
          <w:p>
            <w:pPr>
              <w:pStyle w:val="TableParagraph"/>
              <w:rPr>
                <w:sz w:val="20"/>
              </w:rPr>
            </w:pPr>
          </w:p>
          <w:p>
            <w:pPr>
              <w:pStyle w:val="TableParagraph"/>
              <w:spacing w:before="9"/>
              <w:rPr>
                <w:sz w:val="17"/>
              </w:rPr>
            </w:pPr>
          </w:p>
          <w:p>
            <w:pPr>
              <w:pStyle w:val="TableParagraph"/>
              <w:spacing w:line="244" w:lineRule="exact"/>
              <w:ind w:right="400"/>
              <w:jc w:val="right"/>
              <w:rPr>
                <w:sz w:val="20"/>
              </w:rPr>
            </w:pPr>
            <w:r>
              <w:rPr>
                <w:color w:val="231F20"/>
                <w:sz w:val="20"/>
                <w:u w:val="single" w:color="231F20"/>
              </w:rPr>
              <w:t>2015</w:t>
            </w:r>
          </w:p>
        </w:tc>
        <w:tc>
          <w:tcPr>
            <w:tcW w:w="900" w:type="dxa"/>
          </w:tcPr>
          <w:p>
            <w:pPr>
              <w:pStyle w:val="TableParagraph"/>
              <w:rPr>
                <w:sz w:val="20"/>
              </w:rPr>
            </w:pPr>
          </w:p>
          <w:p>
            <w:pPr>
              <w:pStyle w:val="TableParagraph"/>
              <w:rPr>
                <w:sz w:val="20"/>
              </w:rPr>
            </w:pPr>
          </w:p>
          <w:p>
            <w:pPr>
              <w:pStyle w:val="TableParagraph"/>
              <w:rPr>
                <w:sz w:val="20"/>
              </w:rPr>
            </w:pPr>
          </w:p>
          <w:p>
            <w:pPr>
              <w:pStyle w:val="TableParagraph"/>
              <w:spacing w:before="9"/>
              <w:rPr>
                <w:sz w:val="17"/>
              </w:rPr>
            </w:pPr>
          </w:p>
          <w:p>
            <w:pPr>
              <w:pStyle w:val="TableParagraph"/>
              <w:spacing w:line="244" w:lineRule="exact"/>
              <w:ind w:left="250" w:right="31"/>
              <w:jc w:val="center"/>
              <w:rPr>
                <w:sz w:val="20"/>
              </w:rPr>
            </w:pPr>
            <w:r>
              <w:rPr>
                <w:color w:val="231F20"/>
                <w:sz w:val="20"/>
                <w:u w:val="single" w:color="231F20"/>
              </w:rPr>
              <w:t>2014</w:t>
            </w:r>
          </w:p>
        </w:tc>
      </w:tr>
      <w:tr>
        <w:trPr>
          <w:trHeight w:val="370" w:hRule="atLeast"/>
        </w:trPr>
        <w:tc>
          <w:tcPr>
            <w:tcW w:w="6263" w:type="dxa"/>
          </w:tcPr>
          <w:p>
            <w:pPr>
              <w:pStyle w:val="TableParagraph"/>
              <w:spacing w:line="228" w:lineRule="exact"/>
              <w:ind w:left="559"/>
              <w:rPr>
                <w:b/>
                <w:sz w:val="20"/>
              </w:rPr>
            </w:pPr>
            <w:r>
              <w:rPr>
                <w:b/>
                <w:color w:val="231F20"/>
                <w:sz w:val="20"/>
              </w:rPr>
              <w:t>activities to operating surplus.</w:t>
            </w:r>
          </w:p>
        </w:tc>
        <w:tc>
          <w:tcPr>
            <w:tcW w:w="2371" w:type="dxa"/>
          </w:tcPr>
          <w:p>
            <w:pPr>
              <w:pStyle w:val="TableParagraph"/>
              <w:spacing w:line="228" w:lineRule="exact"/>
              <w:ind w:right="555"/>
              <w:jc w:val="right"/>
              <w:rPr>
                <w:sz w:val="20"/>
              </w:rPr>
            </w:pPr>
            <w:r>
              <w:rPr>
                <w:color w:val="231F20"/>
                <w:w w:val="100"/>
                <w:sz w:val="20"/>
              </w:rPr>
              <w:t>$</w:t>
            </w:r>
          </w:p>
        </w:tc>
        <w:tc>
          <w:tcPr>
            <w:tcW w:w="900" w:type="dxa"/>
          </w:tcPr>
          <w:p>
            <w:pPr>
              <w:pStyle w:val="TableParagraph"/>
              <w:spacing w:line="228" w:lineRule="exact"/>
              <w:ind w:left="215"/>
              <w:jc w:val="center"/>
              <w:rPr>
                <w:sz w:val="20"/>
              </w:rPr>
            </w:pPr>
            <w:r>
              <w:rPr>
                <w:color w:val="231F20"/>
                <w:w w:val="100"/>
                <w:sz w:val="20"/>
              </w:rPr>
              <w:t>$</w:t>
            </w:r>
          </w:p>
        </w:tc>
      </w:tr>
      <w:tr>
        <w:trPr>
          <w:trHeight w:val="494" w:hRule="atLeast"/>
        </w:trPr>
        <w:tc>
          <w:tcPr>
            <w:tcW w:w="6263" w:type="dxa"/>
          </w:tcPr>
          <w:p>
            <w:pPr>
              <w:pStyle w:val="TableParagraph"/>
              <w:spacing w:before="107"/>
              <w:ind w:left="559"/>
              <w:rPr>
                <w:sz w:val="20"/>
              </w:rPr>
            </w:pPr>
            <w:r>
              <w:rPr>
                <w:color w:val="231F20"/>
                <w:sz w:val="20"/>
              </w:rPr>
              <w:t>Operating surplus/(deficit)</w:t>
            </w:r>
          </w:p>
        </w:tc>
        <w:tc>
          <w:tcPr>
            <w:tcW w:w="2371" w:type="dxa"/>
          </w:tcPr>
          <w:p>
            <w:pPr>
              <w:pStyle w:val="TableParagraph"/>
              <w:spacing w:before="107"/>
              <w:ind w:right="324"/>
              <w:jc w:val="right"/>
              <w:rPr>
                <w:sz w:val="20"/>
              </w:rPr>
            </w:pPr>
            <w:r>
              <w:rPr>
                <w:color w:val="231F20"/>
                <w:sz w:val="20"/>
              </w:rPr>
              <w:t>64,077</w:t>
            </w:r>
          </w:p>
        </w:tc>
        <w:tc>
          <w:tcPr>
            <w:tcW w:w="900" w:type="dxa"/>
          </w:tcPr>
          <w:p>
            <w:pPr>
              <w:pStyle w:val="TableParagraph"/>
              <w:spacing w:before="107"/>
              <w:ind w:left="250" w:right="32"/>
              <w:jc w:val="center"/>
              <w:rPr>
                <w:sz w:val="20"/>
              </w:rPr>
            </w:pPr>
            <w:r>
              <w:rPr>
                <w:color w:val="231F20"/>
                <w:sz w:val="20"/>
              </w:rPr>
              <w:t>45,217</w:t>
            </w:r>
          </w:p>
        </w:tc>
      </w:tr>
      <w:tr>
        <w:trPr>
          <w:trHeight w:val="370" w:hRule="atLeast"/>
        </w:trPr>
        <w:tc>
          <w:tcPr>
            <w:tcW w:w="6263" w:type="dxa"/>
          </w:tcPr>
          <w:p>
            <w:pPr>
              <w:pStyle w:val="TableParagraph"/>
              <w:spacing w:line="244" w:lineRule="exact" w:before="107"/>
              <w:ind w:left="559"/>
              <w:rPr>
                <w:sz w:val="20"/>
              </w:rPr>
            </w:pPr>
            <w:r>
              <w:rPr>
                <w:color w:val="231F20"/>
                <w:sz w:val="20"/>
              </w:rPr>
              <w:t>Profit/Loss on disposal of non-current assets</w:t>
            </w:r>
          </w:p>
        </w:tc>
        <w:tc>
          <w:tcPr>
            <w:tcW w:w="2371" w:type="dxa"/>
          </w:tcPr>
          <w:p>
            <w:pPr>
              <w:pStyle w:val="TableParagraph"/>
              <w:spacing w:line="244" w:lineRule="exact" w:before="107"/>
              <w:ind w:right="313"/>
              <w:jc w:val="right"/>
              <w:rPr>
                <w:sz w:val="20"/>
              </w:rPr>
            </w:pPr>
            <w:r>
              <w:rPr>
                <w:color w:val="231F20"/>
                <w:sz w:val="20"/>
              </w:rPr>
              <w:t>(2,097)</w:t>
            </w:r>
          </w:p>
        </w:tc>
        <w:tc>
          <w:tcPr>
            <w:tcW w:w="900" w:type="dxa"/>
          </w:tcPr>
          <w:p>
            <w:pPr>
              <w:pStyle w:val="TableParagraph"/>
              <w:spacing w:line="244" w:lineRule="exact" w:before="107"/>
              <w:ind w:left="215"/>
              <w:jc w:val="center"/>
              <w:rPr>
                <w:sz w:val="20"/>
              </w:rPr>
            </w:pPr>
            <w:r>
              <w:rPr>
                <w:color w:val="231F20"/>
                <w:w w:val="100"/>
                <w:sz w:val="20"/>
              </w:rPr>
              <w:t>0</w:t>
            </w:r>
          </w:p>
        </w:tc>
      </w:tr>
      <w:tr>
        <w:trPr>
          <w:trHeight w:val="247" w:hRule="atLeast"/>
        </w:trPr>
        <w:tc>
          <w:tcPr>
            <w:tcW w:w="6263" w:type="dxa"/>
          </w:tcPr>
          <w:p>
            <w:pPr>
              <w:pStyle w:val="TableParagraph"/>
              <w:spacing w:line="227" w:lineRule="exact"/>
              <w:ind w:left="559"/>
              <w:rPr>
                <w:sz w:val="20"/>
              </w:rPr>
            </w:pPr>
            <w:r>
              <w:rPr>
                <w:color w:val="231F20"/>
                <w:sz w:val="20"/>
              </w:rPr>
              <w:t>Depreciation and amortisation of non-current assets</w:t>
            </w:r>
          </w:p>
        </w:tc>
        <w:tc>
          <w:tcPr>
            <w:tcW w:w="2371" w:type="dxa"/>
          </w:tcPr>
          <w:p>
            <w:pPr>
              <w:pStyle w:val="TableParagraph"/>
              <w:spacing w:line="227" w:lineRule="exact"/>
              <w:ind w:right="375"/>
              <w:jc w:val="right"/>
              <w:rPr>
                <w:sz w:val="20"/>
              </w:rPr>
            </w:pPr>
            <w:r>
              <w:rPr>
                <w:color w:val="231F20"/>
                <w:sz w:val="20"/>
              </w:rPr>
              <w:t>1,617</w:t>
            </w:r>
          </w:p>
        </w:tc>
        <w:tc>
          <w:tcPr>
            <w:tcW w:w="900" w:type="dxa"/>
          </w:tcPr>
          <w:p>
            <w:pPr>
              <w:pStyle w:val="TableParagraph"/>
              <w:spacing w:line="227" w:lineRule="exact"/>
              <w:ind w:left="248" w:right="32"/>
              <w:jc w:val="center"/>
              <w:rPr>
                <w:sz w:val="20"/>
              </w:rPr>
            </w:pPr>
            <w:r>
              <w:rPr>
                <w:color w:val="231F20"/>
                <w:sz w:val="20"/>
              </w:rPr>
              <w:t>7,030</w:t>
            </w:r>
          </w:p>
        </w:tc>
      </w:tr>
      <w:tr>
        <w:trPr>
          <w:trHeight w:val="741" w:hRule="atLeast"/>
        </w:trPr>
        <w:tc>
          <w:tcPr>
            <w:tcW w:w="6263" w:type="dxa"/>
          </w:tcPr>
          <w:p>
            <w:pPr>
              <w:pStyle w:val="TableParagraph"/>
              <w:spacing w:line="228" w:lineRule="exact"/>
              <w:ind w:left="559"/>
              <w:rPr>
                <w:sz w:val="20"/>
              </w:rPr>
            </w:pPr>
            <w:r>
              <w:rPr>
                <w:color w:val="231F20"/>
                <w:sz w:val="20"/>
              </w:rPr>
              <w:t>Non operating income</w:t>
            </w:r>
          </w:p>
          <w:p>
            <w:pPr>
              <w:pStyle w:val="TableParagraph"/>
              <w:spacing w:line="240" w:lineRule="atLeast" w:before="3"/>
              <w:ind w:left="604" w:right="1297" w:hanging="46"/>
              <w:rPr>
                <w:sz w:val="20"/>
              </w:rPr>
            </w:pPr>
            <w:r>
              <w:rPr>
                <w:color w:val="231F20"/>
                <w:sz w:val="20"/>
              </w:rPr>
              <w:t>Changes in net assets and liabilities Decrease/(Increase ) in current receivables</w:t>
            </w:r>
          </w:p>
        </w:tc>
        <w:tc>
          <w:tcPr>
            <w:tcW w:w="2371" w:type="dxa"/>
          </w:tcPr>
          <w:p>
            <w:pPr>
              <w:pStyle w:val="TableParagraph"/>
              <w:rPr>
                <w:sz w:val="20"/>
              </w:rPr>
            </w:pPr>
          </w:p>
          <w:p>
            <w:pPr>
              <w:pStyle w:val="TableParagraph"/>
              <w:spacing w:before="1"/>
              <w:rPr>
                <w:sz w:val="19"/>
              </w:rPr>
            </w:pPr>
          </w:p>
          <w:p>
            <w:pPr>
              <w:pStyle w:val="TableParagraph"/>
              <w:spacing w:line="244" w:lineRule="exact" w:before="1"/>
              <w:ind w:right="313"/>
              <w:jc w:val="right"/>
              <w:rPr>
                <w:sz w:val="20"/>
              </w:rPr>
            </w:pPr>
            <w:r>
              <w:rPr>
                <w:color w:val="231F20"/>
                <w:sz w:val="20"/>
              </w:rPr>
              <w:t>(8,718)</w:t>
            </w:r>
          </w:p>
        </w:tc>
        <w:tc>
          <w:tcPr>
            <w:tcW w:w="900" w:type="dxa"/>
          </w:tcPr>
          <w:p>
            <w:pPr>
              <w:pStyle w:val="TableParagraph"/>
              <w:spacing w:line="228" w:lineRule="exact"/>
              <w:ind w:left="215"/>
              <w:jc w:val="center"/>
              <w:rPr>
                <w:sz w:val="20"/>
              </w:rPr>
            </w:pPr>
            <w:r>
              <w:rPr>
                <w:color w:val="231F20"/>
                <w:w w:val="100"/>
                <w:sz w:val="20"/>
              </w:rPr>
              <w:t>0</w:t>
            </w:r>
          </w:p>
          <w:p>
            <w:pPr>
              <w:pStyle w:val="TableParagraph"/>
              <w:spacing w:before="6"/>
              <w:rPr>
                <w:sz w:val="20"/>
              </w:rPr>
            </w:pPr>
          </w:p>
          <w:p>
            <w:pPr>
              <w:pStyle w:val="TableParagraph"/>
              <w:spacing w:line="244" w:lineRule="exact"/>
              <w:ind w:left="250" w:right="32"/>
              <w:jc w:val="center"/>
              <w:rPr>
                <w:sz w:val="20"/>
              </w:rPr>
            </w:pPr>
            <w:r>
              <w:rPr>
                <w:color w:val="231F20"/>
                <w:sz w:val="20"/>
              </w:rPr>
              <w:t>(4,831)</w:t>
            </w:r>
          </w:p>
        </w:tc>
      </w:tr>
      <w:tr>
        <w:trPr>
          <w:trHeight w:val="247" w:hRule="atLeast"/>
        </w:trPr>
        <w:tc>
          <w:tcPr>
            <w:tcW w:w="6263" w:type="dxa"/>
          </w:tcPr>
          <w:p>
            <w:pPr>
              <w:pStyle w:val="TableParagraph"/>
              <w:spacing w:line="227" w:lineRule="exact"/>
              <w:ind w:left="604"/>
              <w:rPr>
                <w:sz w:val="20"/>
              </w:rPr>
            </w:pPr>
            <w:r>
              <w:rPr>
                <w:color w:val="231F20"/>
                <w:sz w:val="20"/>
              </w:rPr>
              <w:t>Increase / (decrease) in current creditors</w:t>
            </w:r>
          </w:p>
        </w:tc>
        <w:tc>
          <w:tcPr>
            <w:tcW w:w="2371" w:type="dxa"/>
          </w:tcPr>
          <w:p>
            <w:pPr>
              <w:pStyle w:val="TableParagraph"/>
              <w:spacing w:line="227" w:lineRule="exact"/>
              <w:ind w:right="324"/>
              <w:jc w:val="right"/>
              <w:rPr>
                <w:sz w:val="20"/>
              </w:rPr>
            </w:pPr>
            <w:r>
              <w:rPr>
                <w:color w:val="231F20"/>
                <w:sz w:val="20"/>
              </w:rPr>
              <w:t>11,250</w:t>
            </w:r>
          </w:p>
        </w:tc>
        <w:tc>
          <w:tcPr>
            <w:tcW w:w="900" w:type="dxa"/>
          </w:tcPr>
          <w:p>
            <w:pPr>
              <w:pStyle w:val="TableParagraph"/>
              <w:spacing w:line="227" w:lineRule="exact"/>
              <w:ind w:left="250" w:right="32"/>
              <w:jc w:val="center"/>
              <w:rPr>
                <w:sz w:val="20"/>
              </w:rPr>
            </w:pPr>
            <w:r>
              <w:rPr>
                <w:color w:val="231F20"/>
                <w:sz w:val="20"/>
              </w:rPr>
              <w:t>21,344</w:t>
            </w:r>
          </w:p>
        </w:tc>
      </w:tr>
      <w:tr>
        <w:trPr>
          <w:trHeight w:val="247" w:hRule="atLeast"/>
        </w:trPr>
        <w:tc>
          <w:tcPr>
            <w:tcW w:w="6263" w:type="dxa"/>
          </w:tcPr>
          <w:p>
            <w:pPr>
              <w:pStyle w:val="TableParagraph"/>
              <w:spacing w:line="227" w:lineRule="exact"/>
              <w:ind w:left="604"/>
              <w:rPr>
                <w:sz w:val="20"/>
              </w:rPr>
            </w:pPr>
            <w:r>
              <w:rPr>
                <w:color w:val="231F20"/>
                <w:sz w:val="20"/>
              </w:rPr>
              <w:t>Increase/ (decrease) in current provisions</w:t>
            </w:r>
          </w:p>
        </w:tc>
        <w:tc>
          <w:tcPr>
            <w:tcW w:w="2371" w:type="dxa"/>
          </w:tcPr>
          <w:p>
            <w:pPr>
              <w:pStyle w:val="TableParagraph"/>
              <w:spacing w:line="227" w:lineRule="exact"/>
              <w:ind w:right="263"/>
              <w:jc w:val="right"/>
              <w:rPr>
                <w:sz w:val="20"/>
              </w:rPr>
            </w:pPr>
            <w:r>
              <w:rPr>
                <w:color w:val="231F20"/>
                <w:sz w:val="20"/>
              </w:rPr>
              <w:t>(23,303)</w:t>
            </w:r>
          </w:p>
        </w:tc>
        <w:tc>
          <w:tcPr>
            <w:tcW w:w="900" w:type="dxa"/>
          </w:tcPr>
          <w:p>
            <w:pPr>
              <w:pStyle w:val="TableParagraph"/>
              <w:spacing w:line="227" w:lineRule="exact"/>
              <w:ind w:left="250" w:right="32"/>
              <w:jc w:val="center"/>
              <w:rPr>
                <w:sz w:val="20"/>
              </w:rPr>
            </w:pPr>
            <w:r>
              <w:rPr>
                <w:color w:val="231F20"/>
                <w:sz w:val="20"/>
              </w:rPr>
              <w:t>13,702</w:t>
            </w:r>
          </w:p>
        </w:tc>
      </w:tr>
      <w:tr>
        <w:trPr>
          <w:trHeight w:val="224" w:hRule="atLeast"/>
        </w:trPr>
        <w:tc>
          <w:tcPr>
            <w:tcW w:w="6263" w:type="dxa"/>
          </w:tcPr>
          <w:p>
            <w:pPr>
              <w:pStyle w:val="TableParagraph"/>
              <w:spacing w:line="204" w:lineRule="exact"/>
              <w:ind w:left="559"/>
              <w:rPr>
                <w:sz w:val="20"/>
              </w:rPr>
            </w:pPr>
            <w:r>
              <w:rPr>
                <w:color w:val="231F20"/>
                <w:sz w:val="20"/>
              </w:rPr>
              <w:t>Increase /(decrease) in income in advance</w:t>
            </w:r>
          </w:p>
        </w:tc>
        <w:tc>
          <w:tcPr>
            <w:tcW w:w="2371" w:type="dxa"/>
          </w:tcPr>
          <w:p>
            <w:pPr>
              <w:pStyle w:val="TableParagraph"/>
              <w:spacing w:line="204" w:lineRule="exact"/>
              <w:ind w:right="272"/>
              <w:jc w:val="right"/>
              <w:rPr>
                <w:sz w:val="20"/>
              </w:rPr>
            </w:pPr>
            <w:r>
              <w:rPr>
                <w:color w:val="231F20"/>
                <w:sz w:val="20"/>
              </w:rPr>
              <w:t>163,697</w:t>
            </w:r>
          </w:p>
        </w:tc>
        <w:tc>
          <w:tcPr>
            <w:tcW w:w="900" w:type="dxa"/>
          </w:tcPr>
          <w:p>
            <w:pPr>
              <w:pStyle w:val="TableParagraph"/>
              <w:spacing w:line="204" w:lineRule="exact"/>
              <w:ind w:left="250" w:right="32"/>
              <w:jc w:val="center"/>
              <w:rPr>
                <w:sz w:val="20"/>
              </w:rPr>
            </w:pPr>
            <w:r>
              <w:rPr>
                <w:color w:val="231F20"/>
                <w:sz w:val="20"/>
              </w:rPr>
              <w:t>41,136</w:t>
            </w:r>
          </w:p>
        </w:tc>
      </w:tr>
    </w:tbl>
    <w:p>
      <w:pPr>
        <w:tabs>
          <w:tab w:pos="8490" w:val="left" w:leader="none"/>
          <w:tab w:pos="8790" w:val="left" w:leader="none"/>
          <w:tab w:pos="10189" w:val="left" w:leader="none"/>
          <w:tab w:pos="10828" w:val="left" w:leader="none"/>
        </w:tabs>
        <w:spacing w:before="6"/>
        <w:ind w:left="1608" w:right="0" w:firstLine="0"/>
        <w:jc w:val="left"/>
        <w:rPr>
          <w:rFonts w:ascii="Calibri"/>
          <w:sz w:val="20"/>
        </w:rPr>
      </w:pPr>
      <w:r>
        <w:rPr>
          <w:rFonts w:ascii="Calibri"/>
          <w:color w:val="231F20"/>
          <w:sz w:val="20"/>
        </w:rPr>
        <w:t>(Increase )/decrease in</w:t>
      </w:r>
      <w:r>
        <w:rPr>
          <w:rFonts w:ascii="Calibri"/>
          <w:color w:val="231F20"/>
          <w:spacing w:val="2"/>
          <w:sz w:val="20"/>
        </w:rPr>
        <w:t> </w:t>
      </w:r>
      <w:r>
        <w:rPr>
          <w:rFonts w:ascii="Calibri"/>
          <w:color w:val="231F20"/>
          <w:sz w:val="20"/>
        </w:rPr>
        <w:t>Fixed</w:t>
      </w:r>
      <w:r>
        <w:rPr>
          <w:rFonts w:ascii="Calibri"/>
          <w:color w:val="231F20"/>
          <w:spacing w:val="0"/>
          <w:sz w:val="20"/>
        </w:rPr>
        <w:t> </w:t>
      </w:r>
      <w:r>
        <w:rPr>
          <w:rFonts w:ascii="Calibri"/>
          <w:color w:val="231F20"/>
          <w:sz w:val="20"/>
        </w:rPr>
        <w:t>assets</w:t>
        <w:tab/>
      </w:r>
      <w:r>
        <w:rPr>
          <w:rFonts w:ascii="Calibri"/>
          <w:color w:val="231F20"/>
          <w:sz w:val="20"/>
          <w:u w:val="single" w:color="231F20"/>
        </w:rPr>
        <w:t> </w:t>
        <w:tab/>
        <w:t>14,766</w:t>
        <w:tab/>
        <w:t>0</w:t>
        <w:tab/>
      </w:r>
    </w:p>
    <w:p>
      <w:pPr>
        <w:tabs>
          <w:tab w:pos="8490" w:val="left" w:leader="none"/>
          <w:tab w:pos="8739" w:val="left" w:leader="none"/>
          <w:tab w:pos="9906" w:val="left" w:leader="none"/>
          <w:tab w:pos="10828" w:val="left" w:leader="none"/>
        </w:tabs>
        <w:spacing w:before="8" w:after="18"/>
        <w:ind w:left="1608" w:right="0" w:firstLine="0"/>
        <w:jc w:val="left"/>
        <w:rPr>
          <w:rFonts w:ascii="Calibri"/>
          <w:sz w:val="20"/>
        </w:rPr>
      </w:pPr>
      <w:r>
        <w:rPr>
          <w:rFonts w:ascii="Calibri"/>
          <w:color w:val="231F20"/>
          <w:sz w:val="20"/>
        </w:rPr>
        <w:t>Net Cash provided by/(used in)</w:t>
      </w:r>
      <w:r>
        <w:rPr>
          <w:rFonts w:ascii="Calibri"/>
          <w:color w:val="231F20"/>
          <w:spacing w:val="0"/>
          <w:sz w:val="20"/>
        </w:rPr>
        <w:t> </w:t>
      </w:r>
      <w:r>
        <w:rPr>
          <w:rFonts w:ascii="Calibri"/>
          <w:color w:val="231F20"/>
          <w:sz w:val="20"/>
        </w:rPr>
        <w:t>operating activities</w:t>
        <w:tab/>
      </w:r>
      <w:r>
        <w:rPr>
          <w:rFonts w:ascii="Calibri"/>
          <w:color w:val="231F20"/>
          <w:sz w:val="20"/>
          <w:u w:val="single" w:color="231F20"/>
        </w:rPr>
        <w:t> </w:t>
        <w:tab/>
        <w:t>221,287</w:t>
        <w:tab/>
        <w:t>123,598</w:t>
        <w:tab/>
      </w:r>
    </w:p>
    <w:p>
      <w:pPr>
        <w:pStyle w:val="BodyText"/>
        <w:spacing w:line="20" w:lineRule="exact"/>
        <w:ind w:left="8481"/>
        <w:rPr>
          <w:rFonts w:ascii="Calibri"/>
          <w:sz w:val="2"/>
        </w:rPr>
      </w:pPr>
      <w:r>
        <w:rPr>
          <w:rFonts w:ascii="Calibri"/>
          <w:sz w:val="2"/>
        </w:rPr>
        <w:pict>
          <v:group style="width:116.9pt;height:.85pt;mso-position-horizontal-relative:char;mso-position-vertical-relative:line" coordorigin="0,0" coordsize="2338,17">
            <v:line style="position:absolute" from="0,8" to="2338,8" stroked="true" strokeweight=".84pt" strokecolor="#231f20">
              <v:stroke dashstyle="solid"/>
            </v:line>
          </v:group>
        </w:pict>
      </w:r>
      <w:r>
        <w:rPr>
          <w:rFonts w:ascii="Calibri"/>
          <w:sz w:val="2"/>
        </w:rPr>
      </w:r>
    </w:p>
    <w:p>
      <w:pPr>
        <w:spacing w:after="0" w:line="20" w:lineRule="exact"/>
        <w:rPr>
          <w:rFonts w:ascii="Calibri"/>
          <w:sz w:val="2"/>
        </w:rPr>
        <w:sectPr>
          <w:footerReference w:type="default" r:id="rId76"/>
          <w:pgSz w:w="11910" w:h="16840"/>
          <w:pgMar w:footer="524" w:header="0" w:top="1560" w:bottom="720" w:left="0" w:right="220"/>
        </w:sectPr>
      </w:pPr>
    </w:p>
    <w:p>
      <w:pPr>
        <w:spacing w:before="96"/>
        <w:ind w:left="217" w:right="0" w:firstLine="0"/>
        <w:jc w:val="center"/>
        <w:rPr>
          <w:rFonts w:ascii="Calibri"/>
          <w:b/>
          <w:sz w:val="22"/>
        </w:rPr>
      </w:pPr>
      <w:r>
        <w:rPr/>
        <w:pict>
          <v:line style="position:absolute;mso-position-horizontal-relative:page;mso-position-vertical-relative:page;z-index:-83224" from="473.320007pt,604.959961pt" to="523.600007pt,604.959961pt" stroked="true" strokeweight=".140pt" strokecolor="#231f20">
            <v:stroke dashstyle="solid"/>
            <w10:wrap type="none"/>
          </v:line>
        </w:pict>
      </w:r>
      <w:r>
        <w:rPr>
          <w:rFonts w:ascii="Calibri"/>
          <w:b/>
          <w:color w:val="231F20"/>
          <w:sz w:val="22"/>
          <w:u w:val="single" w:color="231F20"/>
        </w:rPr>
        <w:t>PEOPLE WITH DISABILITIES (WA) INC</w:t>
      </w:r>
    </w:p>
    <w:p>
      <w:pPr>
        <w:pStyle w:val="BodyText"/>
        <w:spacing w:before="6"/>
        <w:rPr>
          <w:rFonts w:ascii="Calibri"/>
          <w:b/>
          <w:sz w:val="17"/>
        </w:rPr>
      </w:pPr>
    </w:p>
    <w:p>
      <w:pPr>
        <w:spacing w:before="56"/>
        <w:ind w:left="1916" w:right="1697" w:firstLine="0"/>
        <w:jc w:val="center"/>
        <w:rPr>
          <w:rFonts w:ascii="Calibri"/>
          <w:b/>
          <w:sz w:val="22"/>
        </w:rPr>
      </w:pPr>
      <w:r>
        <w:rPr>
          <w:rFonts w:ascii="Calibri"/>
          <w:b/>
          <w:color w:val="231F20"/>
          <w:sz w:val="22"/>
          <w:u w:val="single" w:color="231F20"/>
        </w:rPr>
        <w:t>Income Statement</w:t>
      </w:r>
    </w:p>
    <w:p>
      <w:pPr>
        <w:spacing w:before="1"/>
        <w:ind w:left="216" w:right="0" w:firstLine="0"/>
        <w:jc w:val="center"/>
        <w:rPr>
          <w:rFonts w:ascii="Calibri"/>
          <w:b/>
          <w:sz w:val="22"/>
        </w:rPr>
      </w:pPr>
      <w:r>
        <w:rPr>
          <w:rFonts w:ascii="Calibri"/>
          <w:b/>
          <w:color w:val="231F20"/>
          <w:sz w:val="22"/>
          <w:u w:val="single" w:color="231F20"/>
        </w:rPr>
        <w:t>For the financial year ended 30/06/2015</w:t>
      </w:r>
    </w:p>
    <w:p>
      <w:pPr>
        <w:pStyle w:val="BodyText"/>
        <w:spacing w:before="7"/>
        <w:rPr>
          <w:rFonts w:ascii="Calibri"/>
          <w:b/>
          <w:sz w:val="26"/>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1"/>
        <w:gridCol w:w="1165"/>
        <w:gridCol w:w="1008"/>
        <w:gridCol w:w="1004"/>
        <w:gridCol w:w="1007"/>
      </w:tblGrid>
      <w:tr>
        <w:trPr>
          <w:trHeight w:val="507" w:hRule="atLeast"/>
        </w:trPr>
        <w:tc>
          <w:tcPr>
            <w:tcW w:w="4881" w:type="dxa"/>
          </w:tcPr>
          <w:p>
            <w:pPr>
              <w:pStyle w:val="TableParagraph"/>
              <w:rPr>
                <w:rFonts w:ascii="Times New Roman"/>
                <w:sz w:val="22"/>
              </w:rPr>
            </w:pPr>
          </w:p>
        </w:tc>
        <w:tc>
          <w:tcPr>
            <w:tcW w:w="1165" w:type="dxa"/>
          </w:tcPr>
          <w:p>
            <w:pPr>
              <w:pStyle w:val="TableParagraph"/>
              <w:spacing w:line="225" w:lineRule="exact"/>
              <w:ind w:left="387" w:right="209"/>
              <w:jc w:val="center"/>
              <w:rPr>
                <w:sz w:val="22"/>
              </w:rPr>
            </w:pPr>
            <w:r>
              <w:rPr>
                <w:color w:val="231F20"/>
                <w:sz w:val="22"/>
              </w:rPr>
              <w:t>Notes</w:t>
            </w:r>
          </w:p>
        </w:tc>
        <w:tc>
          <w:tcPr>
            <w:tcW w:w="1008" w:type="dxa"/>
          </w:tcPr>
          <w:p>
            <w:pPr>
              <w:pStyle w:val="TableParagraph"/>
              <w:spacing w:line="225" w:lineRule="exact"/>
              <w:ind w:left="14"/>
              <w:jc w:val="center"/>
              <w:rPr>
                <w:sz w:val="22"/>
              </w:rPr>
            </w:pPr>
            <w:r>
              <w:rPr>
                <w:color w:val="231F20"/>
                <w:sz w:val="22"/>
              </w:rPr>
              <w:t>2015</w:t>
            </w:r>
          </w:p>
          <w:p>
            <w:pPr>
              <w:pStyle w:val="TableParagraph"/>
              <w:spacing w:line="263" w:lineRule="exact"/>
              <w:ind w:left="16"/>
              <w:jc w:val="center"/>
              <w:rPr>
                <w:sz w:val="22"/>
              </w:rPr>
            </w:pPr>
            <w:r>
              <w:rPr>
                <w:color w:val="231F20"/>
                <w:w w:val="100"/>
                <w:sz w:val="22"/>
              </w:rPr>
              <w:t>$</w:t>
            </w:r>
          </w:p>
        </w:tc>
        <w:tc>
          <w:tcPr>
            <w:tcW w:w="1004" w:type="dxa"/>
          </w:tcPr>
          <w:p>
            <w:pPr>
              <w:pStyle w:val="TableParagraph"/>
              <w:rPr>
                <w:rFonts w:ascii="Times New Roman"/>
                <w:sz w:val="22"/>
              </w:rPr>
            </w:pPr>
          </w:p>
        </w:tc>
        <w:tc>
          <w:tcPr>
            <w:tcW w:w="1007" w:type="dxa"/>
          </w:tcPr>
          <w:p>
            <w:pPr>
              <w:pStyle w:val="TableParagraph"/>
              <w:spacing w:line="225" w:lineRule="exact"/>
              <w:ind w:left="15"/>
              <w:jc w:val="center"/>
              <w:rPr>
                <w:sz w:val="22"/>
              </w:rPr>
            </w:pPr>
            <w:r>
              <w:rPr>
                <w:color w:val="231F20"/>
                <w:sz w:val="22"/>
              </w:rPr>
              <w:t>2014</w:t>
            </w:r>
          </w:p>
          <w:p>
            <w:pPr>
              <w:pStyle w:val="TableParagraph"/>
              <w:spacing w:line="263" w:lineRule="exact"/>
              <w:ind w:left="16"/>
              <w:jc w:val="center"/>
              <w:rPr>
                <w:sz w:val="22"/>
              </w:rPr>
            </w:pPr>
            <w:r>
              <w:rPr>
                <w:color w:val="231F20"/>
                <w:w w:val="100"/>
                <w:sz w:val="22"/>
              </w:rPr>
              <w:t>$</w:t>
            </w:r>
          </w:p>
        </w:tc>
      </w:tr>
      <w:tr>
        <w:trPr>
          <w:trHeight w:val="397" w:hRule="atLeast"/>
        </w:trPr>
        <w:tc>
          <w:tcPr>
            <w:tcW w:w="4881" w:type="dxa"/>
          </w:tcPr>
          <w:p>
            <w:pPr>
              <w:pStyle w:val="TableParagraph"/>
              <w:spacing w:line="243" w:lineRule="exact"/>
              <w:ind w:left="50"/>
              <w:rPr>
                <w:b/>
                <w:sz w:val="22"/>
              </w:rPr>
            </w:pPr>
            <w:r>
              <w:rPr>
                <w:b/>
                <w:color w:val="231F20"/>
                <w:sz w:val="22"/>
              </w:rPr>
              <w:t>Revenue from Ordinary Activities</w:t>
            </w:r>
          </w:p>
        </w:tc>
        <w:tc>
          <w:tcPr>
            <w:tcW w:w="1165" w:type="dxa"/>
          </w:tcPr>
          <w:p>
            <w:pPr>
              <w:pStyle w:val="TableParagraph"/>
              <w:rPr>
                <w:rFonts w:ascii="Times New Roman"/>
                <w:sz w:val="22"/>
              </w:rPr>
            </w:pPr>
          </w:p>
        </w:tc>
        <w:tc>
          <w:tcPr>
            <w:tcW w:w="1008" w:type="dxa"/>
          </w:tcPr>
          <w:p>
            <w:pPr>
              <w:pStyle w:val="TableParagraph"/>
              <w:rPr>
                <w:rFonts w:ascii="Times New Roman"/>
                <w:sz w:val="22"/>
              </w:rPr>
            </w:pPr>
          </w:p>
        </w:tc>
        <w:tc>
          <w:tcPr>
            <w:tcW w:w="1004" w:type="dxa"/>
          </w:tcPr>
          <w:p>
            <w:pPr>
              <w:pStyle w:val="TableParagraph"/>
              <w:rPr>
                <w:rFonts w:ascii="Times New Roman"/>
                <w:sz w:val="22"/>
              </w:rPr>
            </w:pPr>
          </w:p>
        </w:tc>
        <w:tc>
          <w:tcPr>
            <w:tcW w:w="1007" w:type="dxa"/>
          </w:tcPr>
          <w:p>
            <w:pPr>
              <w:pStyle w:val="TableParagraph"/>
              <w:rPr>
                <w:rFonts w:ascii="Times New Roman"/>
                <w:sz w:val="22"/>
              </w:rPr>
            </w:pPr>
          </w:p>
        </w:tc>
      </w:tr>
      <w:tr>
        <w:trPr>
          <w:trHeight w:val="403" w:hRule="atLeast"/>
        </w:trPr>
        <w:tc>
          <w:tcPr>
            <w:tcW w:w="4881" w:type="dxa"/>
          </w:tcPr>
          <w:p>
            <w:pPr>
              <w:pStyle w:val="TableParagraph"/>
              <w:spacing w:before="114"/>
              <w:ind w:left="50"/>
              <w:rPr>
                <w:sz w:val="22"/>
              </w:rPr>
            </w:pPr>
            <w:r>
              <w:rPr>
                <w:color w:val="231F20"/>
                <w:sz w:val="22"/>
              </w:rPr>
              <w:t>Grants</w:t>
            </w:r>
          </w:p>
        </w:tc>
        <w:tc>
          <w:tcPr>
            <w:tcW w:w="1165" w:type="dxa"/>
          </w:tcPr>
          <w:p>
            <w:pPr>
              <w:pStyle w:val="TableParagraph"/>
              <w:rPr>
                <w:rFonts w:ascii="Times New Roman"/>
                <w:sz w:val="22"/>
              </w:rPr>
            </w:pPr>
          </w:p>
        </w:tc>
        <w:tc>
          <w:tcPr>
            <w:tcW w:w="1008" w:type="dxa"/>
          </w:tcPr>
          <w:p>
            <w:pPr>
              <w:pStyle w:val="TableParagraph"/>
              <w:rPr>
                <w:rFonts w:ascii="Times New Roman"/>
                <w:sz w:val="22"/>
              </w:rPr>
            </w:pPr>
          </w:p>
        </w:tc>
        <w:tc>
          <w:tcPr>
            <w:tcW w:w="1004" w:type="dxa"/>
          </w:tcPr>
          <w:p>
            <w:pPr>
              <w:pStyle w:val="TableParagraph"/>
              <w:rPr>
                <w:rFonts w:ascii="Times New Roman"/>
                <w:sz w:val="22"/>
              </w:rPr>
            </w:pPr>
          </w:p>
        </w:tc>
        <w:tc>
          <w:tcPr>
            <w:tcW w:w="1007" w:type="dxa"/>
          </w:tcPr>
          <w:p>
            <w:pPr>
              <w:pStyle w:val="TableParagraph"/>
              <w:rPr>
                <w:rFonts w:ascii="Times New Roman"/>
                <w:sz w:val="22"/>
              </w:rPr>
            </w:pPr>
          </w:p>
        </w:tc>
      </w:tr>
      <w:tr>
        <w:trPr>
          <w:trHeight w:val="274" w:hRule="atLeast"/>
        </w:trPr>
        <w:tc>
          <w:tcPr>
            <w:tcW w:w="4881" w:type="dxa"/>
          </w:tcPr>
          <w:p>
            <w:pPr>
              <w:pStyle w:val="TableParagraph"/>
              <w:spacing w:line="249" w:lineRule="exact"/>
              <w:ind w:left="1156"/>
              <w:rPr>
                <w:sz w:val="22"/>
              </w:rPr>
            </w:pPr>
            <w:r>
              <w:rPr>
                <w:color w:val="231F20"/>
                <w:sz w:val="22"/>
              </w:rPr>
              <w:t>- Disability Services Commission</w:t>
            </w:r>
          </w:p>
        </w:tc>
        <w:tc>
          <w:tcPr>
            <w:tcW w:w="1165" w:type="dxa"/>
          </w:tcPr>
          <w:p>
            <w:pPr>
              <w:pStyle w:val="TableParagraph"/>
              <w:rPr>
                <w:rFonts w:ascii="Times New Roman"/>
                <w:sz w:val="20"/>
              </w:rPr>
            </w:pPr>
          </w:p>
        </w:tc>
        <w:tc>
          <w:tcPr>
            <w:tcW w:w="1008" w:type="dxa"/>
          </w:tcPr>
          <w:p>
            <w:pPr>
              <w:pStyle w:val="TableParagraph"/>
              <w:spacing w:line="255" w:lineRule="exact"/>
              <w:ind w:left="15"/>
              <w:jc w:val="center"/>
              <w:rPr>
                <w:sz w:val="22"/>
              </w:rPr>
            </w:pPr>
            <w:r>
              <w:rPr>
                <w:color w:val="231F20"/>
                <w:sz w:val="22"/>
              </w:rPr>
              <w:t>525,182</w:t>
            </w:r>
          </w:p>
        </w:tc>
        <w:tc>
          <w:tcPr>
            <w:tcW w:w="1004" w:type="dxa"/>
          </w:tcPr>
          <w:p>
            <w:pPr>
              <w:pStyle w:val="TableParagraph"/>
              <w:rPr>
                <w:rFonts w:ascii="Times New Roman"/>
                <w:sz w:val="20"/>
              </w:rPr>
            </w:pPr>
          </w:p>
        </w:tc>
        <w:tc>
          <w:tcPr>
            <w:tcW w:w="1007" w:type="dxa"/>
          </w:tcPr>
          <w:p>
            <w:pPr>
              <w:pStyle w:val="TableParagraph"/>
              <w:spacing w:line="255" w:lineRule="exact"/>
              <w:ind w:left="16"/>
              <w:jc w:val="center"/>
              <w:rPr>
                <w:sz w:val="22"/>
              </w:rPr>
            </w:pPr>
            <w:r>
              <w:rPr>
                <w:color w:val="231F20"/>
                <w:sz w:val="22"/>
              </w:rPr>
              <w:t>516,682</w:t>
            </w:r>
          </w:p>
        </w:tc>
      </w:tr>
      <w:tr>
        <w:trPr>
          <w:trHeight w:val="268" w:hRule="atLeast"/>
        </w:trPr>
        <w:tc>
          <w:tcPr>
            <w:tcW w:w="4881" w:type="dxa"/>
          </w:tcPr>
          <w:p>
            <w:pPr>
              <w:pStyle w:val="TableParagraph"/>
              <w:spacing w:line="243" w:lineRule="exact"/>
              <w:ind w:left="1156"/>
              <w:rPr>
                <w:sz w:val="22"/>
              </w:rPr>
            </w:pPr>
            <w:r>
              <w:rPr>
                <w:color w:val="231F20"/>
                <w:sz w:val="22"/>
              </w:rPr>
              <w:t>- Department of Social Services</w:t>
            </w:r>
          </w:p>
        </w:tc>
        <w:tc>
          <w:tcPr>
            <w:tcW w:w="1165" w:type="dxa"/>
          </w:tcPr>
          <w:p>
            <w:pPr>
              <w:pStyle w:val="TableParagraph"/>
              <w:rPr>
                <w:rFonts w:ascii="Times New Roman"/>
                <w:sz w:val="18"/>
              </w:rPr>
            </w:pPr>
          </w:p>
        </w:tc>
        <w:tc>
          <w:tcPr>
            <w:tcW w:w="1008" w:type="dxa"/>
          </w:tcPr>
          <w:p>
            <w:pPr>
              <w:pStyle w:val="TableParagraph"/>
              <w:spacing w:line="249" w:lineRule="exact"/>
              <w:ind w:left="15"/>
              <w:jc w:val="center"/>
              <w:rPr>
                <w:sz w:val="22"/>
              </w:rPr>
            </w:pPr>
            <w:r>
              <w:rPr>
                <w:color w:val="231F20"/>
                <w:sz w:val="22"/>
              </w:rPr>
              <w:t>274,585</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262,176</w:t>
            </w:r>
          </w:p>
        </w:tc>
      </w:tr>
      <w:tr>
        <w:trPr>
          <w:trHeight w:val="403" w:hRule="atLeast"/>
        </w:trPr>
        <w:tc>
          <w:tcPr>
            <w:tcW w:w="4881" w:type="dxa"/>
          </w:tcPr>
          <w:p>
            <w:pPr>
              <w:pStyle w:val="TableParagraph"/>
              <w:spacing w:line="243" w:lineRule="exact"/>
              <w:ind w:left="1156"/>
              <w:rPr>
                <w:sz w:val="22"/>
              </w:rPr>
            </w:pPr>
            <w:r>
              <w:rPr>
                <w:color w:val="231F20"/>
                <w:sz w:val="22"/>
              </w:rPr>
              <w:t>- Other Grants</w:t>
            </w:r>
          </w:p>
        </w:tc>
        <w:tc>
          <w:tcPr>
            <w:tcW w:w="1165" w:type="dxa"/>
          </w:tcPr>
          <w:p>
            <w:pPr>
              <w:pStyle w:val="TableParagraph"/>
              <w:rPr>
                <w:rFonts w:ascii="Times New Roman"/>
                <w:sz w:val="22"/>
              </w:rPr>
            </w:pPr>
          </w:p>
        </w:tc>
        <w:tc>
          <w:tcPr>
            <w:tcW w:w="1008" w:type="dxa"/>
          </w:tcPr>
          <w:p>
            <w:pPr>
              <w:pStyle w:val="TableParagraph"/>
              <w:spacing w:line="255" w:lineRule="exact"/>
              <w:ind w:left="13"/>
              <w:jc w:val="center"/>
              <w:rPr>
                <w:sz w:val="22"/>
              </w:rPr>
            </w:pPr>
            <w:r>
              <w:rPr>
                <w:color w:val="231F20"/>
                <w:sz w:val="22"/>
              </w:rPr>
              <w:t>79,923</w:t>
            </w:r>
          </w:p>
        </w:tc>
        <w:tc>
          <w:tcPr>
            <w:tcW w:w="1004" w:type="dxa"/>
          </w:tcPr>
          <w:p>
            <w:pPr>
              <w:pStyle w:val="TableParagraph"/>
              <w:rPr>
                <w:rFonts w:ascii="Times New Roman"/>
                <w:sz w:val="22"/>
              </w:rPr>
            </w:pPr>
          </w:p>
        </w:tc>
        <w:tc>
          <w:tcPr>
            <w:tcW w:w="1007" w:type="dxa"/>
          </w:tcPr>
          <w:p>
            <w:pPr>
              <w:pStyle w:val="TableParagraph"/>
              <w:spacing w:line="255" w:lineRule="exact"/>
              <w:ind w:left="14"/>
              <w:jc w:val="center"/>
              <w:rPr>
                <w:sz w:val="22"/>
              </w:rPr>
            </w:pPr>
            <w:r>
              <w:rPr>
                <w:color w:val="231F20"/>
                <w:sz w:val="22"/>
              </w:rPr>
              <w:t>17,517</w:t>
            </w:r>
          </w:p>
        </w:tc>
      </w:tr>
      <w:tr>
        <w:trPr>
          <w:trHeight w:val="403" w:hRule="atLeast"/>
        </w:trPr>
        <w:tc>
          <w:tcPr>
            <w:tcW w:w="4881" w:type="dxa"/>
          </w:tcPr>
          <w:p>
            <w:pPr>
              <w:pStyle w:val="TableParagraph"/>
              <w:spacing w:before="109"/>
              <w:ind w:left="50"/>
              <w:rPr>
                <w:sz w:val="22"/>
              </w:rPr>
            </w:pPr>
            <w:r>
              <w:rPr>
                <w:color w:val="231F20"/>
                <w:sz w:val="22"/>
              </w:rPr>
              <w:t>Interest</w:t>
            </w:r>
          </w:p>
        </w:tc>
        <w:tc>
          <w:tcPr>
            <w:tcW w:w="1165" w:type="dxa"/>
          </w:tcPr>
          <w:p>
            <w:pPr>
              <w:pStyle w:val="TableParagraph"/>
              <w:rPr>
                <w:rFonts w:ascii="Times New Roman"/>
                <w:sz w:val="22"/>
              </w:rPr>
            </w:pPr>
          </w:p>
        </w:tc>
        <w:tc>
          <w:tcPr>
            <w:tcW w:w="1008" w:type="dxa"/>
          </w:tcPr>
          <w:p>
            <w:pPr>
              <w:pStyle w:val="TableParagraph"/>
              <w:spacing w:line="263" w:lineRule="exact" w:before="121"/>
              <w:ind w:left="13"/>
              <w:jc w:val="center"/>
              <w:rPr>
                <w:sz w:val="22"/>
              </w:rPr>
            </w:pPr>
            <w:r>
              <w:rPr>
                <w:color w:val="231F20"/>
                <w:sz w:val="22"/>
              </w:rPr>
              <w:t>16,640</w:t>
            </w:r>
          </w:p>
        </w:tc>
        <w:tc>
          <w:tcPr>
            <w:tcW w:w="1004" w:type="dxa"/>
          </w:tcPr>
          <w:p>
            <w:pPr>
              <w:pStyle w:val="TableParagraph"/>
              <w:rPr>
                <w:rFonts w:ascii="Times New Roman"/>
                <w:sz w:val="22"/>
              </w:rPr>
            </w:pPr>
          </w:p>
        </w:tc>
        <w:tc>
          <w:tcPr>
            <w:tcW w:w="1007" w:type="dxa"/>
          </w:tcPr>
          <w:p>
            <w:pPr>
              <w:pStyle w:val="TableParagraph"/>
              <w:spacing w:line="263" w:lineRule="exact" w:before="121"/>
              <w:ind w:left="14"/>
              <w:jc w:val="center"/>
              <w:rPr>
                <w:sz w:val="22"/>
              </w:rPr>
            </w:pPr>
            <w:r>
              <w:rPr>
                <w:color w:val="231F20"/>
                <w:sz w:val="22"/>
              </w:rPr>
              <w:t>12,604</w:t>
            </w:r>
          </w:p>
        </w:tc>
      </w:tr>
      <w:tr>
        <w:trPr>
          <w:trHeight w:val="268" w:hRule="atLeast"/>
        </w:trPr>
        <w:tc>
          <w:tcPr>
            <w:tcW w:w="4881" w:type="dxa"/>
          </w:tcPr>
          <w:p>
            <w:pPr>
              <w:pStyle w:val="TableParagraph"/>
              <w:spacing w:line="243" w:lineRule="exact"/>
              <w:ind w:left="50"/>
              <w:rPr>
                <w:sz w:val="22"/>
              </w:rPr>
            </w:pPr>
            <w:r>
              <w:rPr>
                <w:color w:val="231F20"/>
                <w:sz w:val="22"/>
              </w:rPr>
              <w:t>Donations &amp; fundraising</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6,450</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1,605</w:t>
            </w:r>
          </w:p>
        </w:tc>
      </w:tr>
      <w:tr>
        <w:trPr>
          <w:trHeight w:val="268" w:hRule="atLeast"/>
        </w:trPr>
        <w:tc>
          <w:tcPr>
            <w:tcW w:w="4881" w:type="dxa"/>
          </w:tcPr>
          <w:p>
            <w:pPr>
              <w:pStyle w:val="TableParagraph"/>
              <w:spacing w:line="243" w:lineRule="exact"/>
              <w:ind w:left="50"/>
              <w:rPr>
                <w:sz w:val="22"/>
              </w:rPr>
            </w:pPr>
            <w:r>
              <w:rPr>
                <w:color w:val="231F20"/>
                <w:sz w:val="22"/>
              </w:rPr>
              <w:t>Membership</w:t>
            </w:r>
          </w:p>
        </w:tc>
        <w:tc>
          <w:tcPr>
            <w:tcW w:w="1165" w:type="dxa"/>
          </w:tcPr>
          <w:p>
            <w:pPr>
              <w:pStyle w:val="TableParagraph"/>
              <w:rPr>
                <w:rFonts w:ascii="Times New Roman"/>
                <w:sz w:val="18"/>
              </w:rPr>
            </w:pPr>
          </w:p>
        </w:tc>
        <w:tc>
          <w:tcPr>
            <w:tcW w:w="1008" w:type="dxa"/>
          </w:tcPr>
          <w:p>
            <w:pPr>
              <w:pStyle w:val="TableParagraph"/>
              <w:spacing w:line="249" w:lineRule="exact"/>
              <w:ind w:left="14"/>
              <w:jc w:val="center"/>
              <w:rPr>
                <w:sz w:val="22"/>
              </w:rPr>
            </w:pPr>
            <w:r>
              <w:rPr>
                <w:color w:val="231F20"/>
                <w:sz w:val="22"/>
              </w:rPr>
              <w:t>18</w:t>
            </w:r>
          </w:p>
        </w:tc>
        <w:tc>
          <w:tcPr>
            <w:tcW w:w="1004" w:type="dxa"/>
          </w:tcPr>
          <w:p>
            <w:pPr>
              <w:pStyle w:val="TableParagraph"/>
              <w:rPr>
                <w:rFonts w:ascii="Times New Roman"/>
                <w:sz w:val="18"/>
              </w:rPr>
            </w:pPr>
          </w:p>
        </w:tc>
        <w:tc>
          <w:tcPr>
            <w:tcW w:w="1007" w:type="dxa"/>
          </w:tcPr>
          <w:p>
            <w:pPr>
              <w:pStyle w:val="TableParagraph"/>
              <w:spacing w:line="249" w:lineRule="exact"/>
              <w:ind w:left="17"/>
              <w:jc w:val="center"/>
              <w:rPr>
                <w:sz w:val="22"/>
              </w:rPr>
            </w:pPr>
            <w:r>
              <w:rPr>
                <w:color w:val="231F20"/>
                <w:sz w:val="22"/>
              </w:rPr>
              <w:t>308</w:t>
            </w:r>
          </w:p>
        </w:tc>
      </w:tr>
      <w:tr>
        <w:trPr>
          <w:trHeight w:val="514" w:hRule="atLeast"/>
        </w:trPr>
        <w:tc>
          <w:tcPr>
            <w:tcW w:w="4881" w:type="dxa"/>
          </w:tcPr>
          <w:p>
            <w:pPr>
              <w:pStyle w:val="TableParagraph"/>
              <w:spacing w:line="243" w:lineRule="exact"/>
              <w:ind w:left="50"/>
              <w:rPr>
                <w:sz w:val="22"/>
              </w:rPr>
            </w:pPr>
            <w:r>
              <w:rPr>
                <w:color w:val="231F20"/>
                <w:sz w:val="22"/>
              </w:rPr>
              <w:t>Sundry Income</w:t>
            </w:r>
          </w:p>
        </w:tc>
        <w:tc>
          <w:tcPr>
            <w:tcW w:w="1165" w:type="dxa"/>
          </w:tcPr>
          <w:p>
            <w:pPr>
              <w:pStyle w:val="TableParagraph"/>
              <w:rPr>
                <w:rFonts w:ascii="Times New Roman"/>
                <w:sz w:val="22"/>
              </w:rPr>
            </w:pPr>
          </w:p>
        </w:tc>
        <w:tc>
          <w:tcPr>
            <w:tcW w:w="1008" w:type="dxa"/>
            <w:tcBorders>
              <w:bottom w:val="single" w:sz="8" w:space="0" w:color="231F20"/>
            </w:tcBorders>
          </w:tcPr>
          <w:p>
            <w:pPr>
              <w:pStyle w:val="TableParagraph"/>
              <w:spacing w:line="255" w:lineRule="exact"/>
              <w:ind w:left="16"/>
              <w:jc w:val="center"/>
              <w:rPr>
                <w:sz w:val="22"/>
              </w:rPr>
            </w:pPr>
            <w:r>
              <w:rPr>
                <w:color w:val="231F20"/>
                <w:sz w:val="22"/>
              </w:rPr>
              <w:t>5,292</w:t>
            </w:r>
          </w:p>
        </w:tc>
        <w:tc>
          <w:tcPr>
            <w:tcW w:w="1004"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16"/>
              <w:jc w:val="center"/>
              <w:rPr>
                <w:sz w:val="22"/>
              </w:rPr>
            </w:pPr>
            <w:r>
              <w:rPr>
                <w:color w:val="231F20"/>
                <w:sz w:val="22"/>
              </w:rPr>
              <w:t>2,119</w:t>
            </w:r>
          </w:p>
        </w:tc>
      </w:tr>
      <w:tr>
        <w:trPr>
          <w:trHeight w:val="406" w:hRule="atLeast"/>
        </w:trPr>
        <w:tc>
          <w:tcPr>
            <w:tcW w:w="4881" w:type="dxa"/>
          </w:tcPr>
          <w:p>
            <w:pPr>
              <w:pStyle w:val="TableParagraph"/>
              <w:spacing w:line="246" w:lineRule="exact"/>
              <w:ind w:left="50"/>
              <w:rPr>
                <w:b/>
                <w:sz w:val="22"/>
              </w:rPr>
            </w:pPr>
            <w:r>
              <w:rPr>
                <w:b/>
                <w:color w:val="231F20"/>
                <w:sz w:val="22"/>
              </w:rPr>
              <w:t>Total Revenue from Ordinary Activities</w:t>
            </w:r>
          </w:p>
        </w:tc>
        <w:tc>
          <w:tcPr>
            <w:tcW w:w="1165" w:type="dxa"/>
          </w:tcPr>
          <w:p>
            <w:pPr>
              <w:pStyle w:val="TableParagraph"/>
              <w:rPr>
                <w:rFonts w:ascii="Times New Roman"/>
                <w:sz w:val="22"/>
              </w:rPr>
            </w:pPr>
          </w:p>
        </w:tc>
        <w:tc>
          <w:tcPr>
            <w:tcW w:w="1008" w:type="dxa"/>
            <w:tcBorders>
              <w:top w:val="single" w:sz="8" w:space="0" w:color="231F20"/>
            </w:tcBorders>
          </w:tcPr>
          <w:p>
            <w:pPr>
              <w:pStyle w:val="TableParagraph"/>
              <w:spacing w:line="258" w:lineRule="exact"/>
              <w:jc w:val="center"/>
              <w:rPr>
                <w:sz w:val="22"/>
              </w:rPr>
            </w:pPr>
            <w:r>
              <w:rPr>
                <w:color w:val="231F20"/>
                <w:w w:val="100"/>
                <w:sz w:val="22"/>
                <w:u w:val="double" w:color="231F20"/>
              </w:rPr>
              <w:t> </w:t>
            </w:r>
            <w:r>
              <w:rPr>
                <w:color w:val="231F20"/>
                <w:sz w:val="22"/>
                <w:u w:val="double" w:color="231F20"/>
              </w:rPr>
              <w:t>  908,</w:t>
            </w:r>
            <w:r>
              <w:rPr>
                <w:color w:val="231F20"/>
                <w:sz w:val="22"/>
                <w:u w:val="single" w:color="231F20"/>
              </w:rPr>
              <w:t>09</w:t>
            </w:r>
            <w:r>
              <w:rPr>
                <w:color w:val="231F20"/>
                <w:sz w:val="22"/>
              </w:rPr>
              <w:t>0 </w:t>
            </w:r>
          </w:p>
        </w:tc>
        <w:tc>
          <w:tcPr>
            <w:tcW w:w="1004" w:type="dxa"/>
          </w:tcPr>
          <w:p>
            <w:pPr>
              <w:pStyle w:val="TableParagraph"/>
              <w:rPr>
                <w:rFonts w:ascii="Times New Roman"/>
                <w:sz w:val="22"/>
              </w:rPr>
            </w:pPr>
          </w:p>
        </w:tc>
        <w:tc>
          <w:tcPr>
            <w:tcW w:w="1007" w:type="dxa"/>
            <w:tcBorders>
              <w:top w:val="single" w:sz="8" w:space="0" w:color="231F20"/>
            </w:tcBorders>
          </w:tcPr>
          <w:p>
            <w:pPr>
              <w:pStyle w:val="TableParagraph"/>
              <w:spacing w:line="258" w:lineRule="exact"/>
              <w:jc w:val="center"/>
              <w:rPr>
                <w:sz w:val="22"/>
              </w:rPr>
            </w:pPr>
            <w:r>
              <w:rPr>
                <w:color w:val="231F20"/>
                <w:w w:val="100"/>
                <w:sz w:val="22"/>
                <w:u w:val="double" w:color="231F20"/>
              </w:rPr>
              <w:t> </w:t>
            </w:r>
            <w:r>
              <w:rPr>
                <w:color w:val="231F20"/>
                <w:sz w:val="22"/>
                <w:u w:val="double" w:color="231F20"/>
              </w:rPr>
              <w:t>  813,</w:t>
            </w:r>
            <w:r>
              <w:rPr>
                <w:color w:val="231F20"/>
                <w:sz w:val="22"/>
                <w:u w:val="single" w:color="231F20"/>
              </w:rPr>
              <w:t>01</w:t>
            </w:r>
            <w:r>
              <w:rPr>
                <w:color w:val="231F20"/>
                <w:sz w:val="22"/>
              </w:rPr>
              <w:t>1 </w:t>
            </w:r>
          </w:p>
        </w:tc>
      </w:tr>
      <w:tr>
        <w:trPr>
          <w:trHeight w:val="531" w:hRule="atLeast"/>
        </w:trPr>
        <w:tc>
          <w:tcPr>
            <w:tcW w:w="4881" w:type="dxa"/>
          </w:tcPr>
          <w:p>
            <w:pPr>
              <w:pStyle w:val="TableParagraph"/>
              <w:spacing w:before="108"/>
              <w:ind w:left="50"/>
              <w:rPr>
                <w:b/>
                <w:sz w:val="22"/>
              </w:rPr>
            </w:pPr>
            <w:r>
              <w:rPr>
                <w:b/>
                <w:color w:val="231F20"/>
                <w:sz w:val="22"/>
              </w:rPr>
              <w:t>Expenses from Ordinary Activities</w:t>
            </w:r>
          </w:p>
        </w:tc>
        <w:tc>
          <w:tcPr>
            <w:tcW w:w="1165" w:type="dxa"/>
          </w:tcPr>
          <w:p>
            <w:pPr>
              <w:pStyle w:val="TableParagraph"/>
              <w:rPr>
                <w:rFonts w:ascii="Times New Roman"/>
                <w:sz w:val="22"/>
              </w:rPr>
            </w:pPr>
          </w:p>
        </w:tc>
        <w:tc>
          <w:tcPr>
            <w:tcW w:w="1008" w:type="dxa"/>
          </w:tcPr>
          <w:p>
            <w:pPr>
              <w:pStyle w:val="TableParagraph"/>
              <w:rPr>
                <w:rFonts w:ascii="Times New Roman"/>
                <w:sz w:val="22"/>
              </w:rPr>
            </w:pPr>
          </w:p>
        </w:tc>
        <w:tc>
          <w:tcPr>
            <w:tcW w:w="1004" w:type="dxa"/>
          </w:tcPr>
          <w:p>
            <w:pPr>
              <w:pStyle w:val="TableParagraph"/>
              <w:rPr>
                <w:rFonts w:ascii="Times New Roman"/>
                <w:sz w:val="22"/>
              </w:rPr>
            </w:pPr>
          </w:p>
        </w:tc>
        <w:tc>
          <w:tcPr>
            <w:tcW w:w="1007" w:type="dxa"/>
          </w:tcPr>
          <w:p>
            <w:pPr>
              <w:pStyle w:val="TableParagraph"/>
              <w:rPr>
                <w:rFonts w:ascii="Times New Roman"/>
                <w:sz w:val="22"/>
              </w:rPr>
            </w:pPr>
          </w:p>
        </w:tc>
      </w:tr>
      <w:tr>
        <w:trPr>
          <w:trHeight w:val="409" w:hRule="atLeast"/>
        </w:trPr>
        <w:tc>
          <w:tcPr>
            <w:tcW w:w="4881" w:type="dxa"/>
          </w:tcPr>
          <w:p>
            <w:pPr>
              <w:pStyle w:val="TableParagraph"/>
              <w:spacing w:before="114"/>
              <w:ind w:left="1055"/>
              <w:rPr>
                <w:sz w:val="22"/>
              </w:rPr>
            </w:pPr>
            <w:r>
              <w:rPr>
                <w:color w:val="231F20"/>
                <w:sz w:val="22"/>
              </w:rPr>
              <w:t>Accounting and Audit fees</w:t>
            </w:r>
          </w:p>
        </w:tc>
        <w:tc>
          <w:tcPr>
            <w:tcW w:w="1165" w:type="dxa"/>
          </w:tcPr>
          <w:p>
            <w:pPr>
              <w:pStyle w:val="TableParagraph"/>
              <w:rPr>
                <w:rFonts w:ascii="Times New Roman"/>
                <w:sz w:val="22"/>
              </w:rPr>
            </w:pPr>
          </w:p>
        </w:tc>
        <w:tc>
          <w:tcPr>
            <w:tcW w:w="1008" w:type="dxa"/>
          </w:tcPr>
          <w:p>
            <w:pPr>
              <w:pStyle w:val="TableParagraph"/>
              <w:spacing w:line="263" w:lineRule="exact" w:before="126"/>
              <w:ind w:left="13"/>
              <w:jc w:val="center"/>
              <w:rPr>
                <w:sz w:val="22"/>
              </w:rPr>
            </w:pPr>
            <w:r>
              <w:rPr>
                <w:color w:val="231F20"/>
                <w:sz w:val="22"/>
              </w:rPr>
              <w:t>16,979</w:t>
            </w:r>
          </w:p>
        </w:tc>
        <w:tc>
          <w:tcPr>
            <w:tcW w:w="1004" w:type="dxa"/>
          </w:tcPr>
          <w:p>
            <w:pPr>
              <w:pStyle w:val="TableParagraph"/>
              <w:rPr>
                <w:rFonts w:ascii="Times New Roman"/>
                <w:sz w:val="22"/>
              </w:rPr>
            </w:pPr>
          </w:p>
        </w:tc>
        <w:tc>
          <w:tcPr>
            <w:tcW w:w="1007" w:type="dxa"/>
          </w:tcPr>
          <w:p>
            <w:pPr>
              <w:pStyle w:val="TableParagraph"/>
              <w:spacing w:line="263" w:lineRule="exact" w:before="126"/>
              <w:ind w:left="14"/>
              <w:jc w:val="center"/>
              <w:rPr>
                <w:sz w:val="22"/>
              </w:rPr>
            </w:pPr>
            <w:r>
              <w:rPr>
                <w:color w:val="231F20"/>
                <w:sz w:val="22"/>
              </w:rPr>
              <w:t>13,056</w:t>
            </w:r>
          </w:p>
        </w:tc>
      </w:tr>
      <w:tr>
        <w:trPr>
          <w:trHeight w:val="268" w:hRule="atLeast"/>
        </w:trPr>
        <w:tc>
          <w:tcPr>
            <w:tcW w:w="4881" w:type="dxa"/>
          </w:tcPr>
          <w:p>
            <w:pPr>
              <w:pStyle w:val="TableParagraph"/>
              <w:spacing w:line="243" w:lineRule="exact"/>
              <w:ind w:left="1055"/>
              <w:rPr>
                <w:sz w:val="22"/>
              </w:rPr>
            </w:pPr>
            <w:r>
              <w:rPr>
                <w:color w:val="231F20"/>
                <w:sz w:val="22"/>
              </w:rPr>
              <w:t>Advertising and recruitment</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6,232</w:t>
            </w:r>
          </w:p>
        </w:tc>
        <w:tc>
          <w:tcPr>
            <w:tcW w:w="1004" w:type="dxa"/>
          </w:tcPr>
          <w:p>
            <w:pPr>
              <w:pStyle w:val="TableParagraph"/>
              <w:rPr>
                <w:rFonts w:ascii="Times New Roman"/>
                <w:sz w:val="18"/>
              </w:rPr>
            </w:pPr>
          </w:p>
        </w:tc>
        <w:tc>
          <w:tcPr>
            <w:tcW w:w="1007" w:type="dxa"/>
          </w:tcPr>
          <w:p>
            <w:pPr>
              <w:pStyle w:val="TableParagraph"/>
              <w:spacing w:line="249" w:lineRule="exact"/>
              <w:ind w:left="15"/>
              <w:jc w:val="center"/>
              <w:rPr>
                <w:sz w:val="22"/>
              </w:rPr>
            </w:pPr>
            <w:r>
              <w:rPr>
                <w:color w:val="231F20"/>
                <w:sz w:val="22"/>
              </w:rPr>
              <w:t>76</w:t>
            </w:r>
          </w:p>
        </w:tc>
      </w:tr>
      <w:tr>
        <w:trPr>
          <w:trHeight w:val="268" w:hRule="atLeast"/>
        </w:trPr>
        <w:tc>
          <w:tcPr>
            <w:tcW w:w="4881" w:type="dxa"/>
          </w:tcPr>
          <w:p>
            <w:pPr>
              <w:pStyle w:val="TableParagraph"/>
              <w:spacing w:line="243" w:lineRule="exact"/>
              <w:ind w:left="1055"/>
              <w:rPr>
                <w:sz w:val="22"/>
              </w:rPr>
            </w:pPr>
            <w:r>
              <w:rPr>
                <w:color w:val="231F20"/>
                <w:sz w:val="22"/>
              </w:rPr>
              <w:t>AGM and General Meeting costs</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4,401</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1,802</w:t>
            </w:r>
          </w:p>
        </w:tc>
      </w:tr>
      <w:tr>
        <w:trPr>
          <w:trHeight w:val="268" w:hRule="atLeast"/>
        </w:trPr>
        <w:tc>
          <w:tcPr>
            <w:tcW w:w="4881" w:type="dxa"/>
          </w:tcPr>
          <w:p>
            <w:pPr>
              <w:pStyle w:val="TableParagraph"/>
              <w:spacing w:line="243" w:lineRule="exact"/>
              <w:ind w:left="1055"/>
              <w:rPr>
                <w:sz w:val="22"/>
              </w:rPr>
            </w:pPr>
            <w:r>
              <w:rPr>
                <w:color w:val="231F20"/>
                <w:sz w:val="22"/>
              </w:rPr>
              <w:t>Depreciation</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1,617</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7,030</w:t>
            </w:r>
          </w:p>
        </w:tc>
      </w:tr>
      <w:tr>
        <w:trPr>
          <w:trHeight w:val="268" w:hRule="atLeast"/>
        </w:trPr>
        <w:tc>
          <w:tcPr>
            <w:tcW w:w="4881" w:type="dxa"/>
          </w:tcPr>
          <w:p>
            <w:pPr>
              <w:pStyle w:val="TableParagraph"/>
              <w:spacing w:line="243" w:lineRule="exact"/>
              <w:ind w:left="1055"/>
              <w:rPr>
                <w:sz w:val="22"/>
              </w:rPr>
            </w:pPr>
            <w:r>
              <w:rPr>
                <w:color w:val="231F20"/>
                <w:sz w:val="22"/>
              </w:rPr>
              <w:t>Equipment Expenses</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6,978</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1,738</w:t>
            </w:r>
          </w:p>
        </w:tc>
      </w:tr>
      <w:tr>
        <w:trPr>
          <w:trHeight w:val="268" w:hRule="atLeast"/>
        </w:trPr>
        <w:tc>
          <w:tcPr>
            <w:tcW w:w="4881" w:type="dxa"/>
          </w:tcPr>
          <w:p>
            <w:pPr>
              <w:pStyle w:val="TableParagraph"/>
              <w:spacing w:line="243" w:lineRule="exact"/>
              <w:ind w:left="1055"/>
              <w:rPr>
                <w:sz w:val="22"/>
              </w:rPr>
            </w:pPr>
            <w:r>
              <w:rPr>
                <w:color w:val="231F20"/>
                <w:sz w:val="22"/>
              </w:rPr>
              <w:t>Insurances - General &amp; Motor Vehicle</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6,296</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7,172</w:t>
            </w:r>
          </w:p>
        </w:tc>
      </w:tr>
      <w:tr>
        <w:trPr>
          <w:trHeight w:val="268" w:hRule="atLeast"/>
        </w:trPr>
        <w:tc>
          <w:tcPr>
            <w:tcW w:w="4881" w:type="dxa"/>
          </w:tcPr>
          <w:p>
            <w:pPr>
              <w:pStyle w:val="TableParagraph"/>
              <w:spacing w:line="243" w:lineRule="exact"/>
              <w:ind w:left="1055"/>
              <w:rPr>
                <w:sz w:val="22"/>
              </w:rPr>
            </w:pPr>
            <w:r>
              <w:rPr>
                <w:color w:val="231F20"/>
                <w:sz w:val="22"/>
              </w:rPr>
              <w:t>I.T. Expenses</w:t>
            </w:r>
          </w:p>
        </w:tc>
        <w:tc>
          <w:tcPr>
            <w:tcW w:w="1165" w:type="dxa"/>
          </w:tcPr>
          <w:p>
            <w:pPr>
              <w:pStyle w:val="TableParagraph"/>
              <w:rPr>
                <w:rFonts w:ascii="Times New Roman"/>
                <w:sz w:val="18"/>
              </w:rPr>
            </w:pPr>
          </w:p>
        </w:tc>
        <w:tc>
          <w:tcPr>
            <w:tcW w:w="1008" w:type="dxa"/>
          </w:tcPr>
          <w:p>
            <w:pPr>
              <w:pStyle w:val="TableParagraph"/>
              <w:spacing w:line="249" w:lineRule="exact"/>
              <w:ind w:left="13"/>
              <w:jc w:val="center"/>
              <w:rPr>
                <w:sz w:val="22"/>
              </w:rPr>
            </w:pPr>
            <w:r>
              <w:rPr>
                <w:color w:val="231F20"/>
                <w:sz w:val="22"/>
              </w:rPr>
              <w:t>12,851</w:t>
            </w:r>
          </w:p>
        </w:tc>
        <w:tc>
          <w:tcPr>
            <w:tcW w:w="1004" w:type="dxa"/>
          </w:tcPr>
          <w:p>
            <w:pPr>
              <w:pStyle w:val="TableParagraph"/>
              <w:rPr>
                <w:rFonts w:ascii="Times New Roman"/>
                <w:sz w:val="18"/>
              </w:rPr>
            </w:pPr>
          </w:p>
        </w:tc>
        <w:tc>
          <w:tcPr>
            <w:tcW w:w="1007" w:type="dxa"/>
          </w:tcPr>
          <w:p>
            <w:pPr>
              <w:pStyle w:val="TableParagraph"/>
              <w:spacing w:line="249" w:lineRule="exact"/>
              <w:ind w:left="14"/>
              <w:jc w:val="center"/>
              <w:rPr>
                <w:sz w:val="22"/>
              </w:rPr>
            </w:pPr>
            <w:r>
              <w:rPr>
                <w:color w:val="231F20"/>
                <w:sz w:val="22"/>
              </w:rPr>
              <w:t>15,692</w:t>
            </w:r>
          </w:p>
        </w:tc>
      </w:tr>
      <w:tr>
        <w:trPr>
          <w:trHeight w:val="268" w:hRule="atLeast"/>
        </w:trPr>
        <w:tc>
          <w:tcPr>
            <w:tcW w:w="4881" w:type="dxa"/>
          </w:tcPr>
          <w:p>
            <w:pPr>
              <w:pStyle w:val="TableParagraph"/>
              <w:spacing w:line="243" w:lineRule="exact"/>
              <w:ind w:left="1055"/>
              <w:rPr>
                <w:sz w:val="22"/>
              </w:rPr>
            </w:pPr>
            <w:r>
              <w:rPr>
                <w:color w:val="231F20"/>
                <w:sz w:val="22"/>
              </w:rPr>
              <w:t>Postage</w:t>
            </w:r>
          </w:p>
        </w:tc>
        <w:tc>
          <w:tcPr>
            <w:tcW w:w="1165" w:type="dxa"/>
          </w:tcPr>
          <w:p>
            <w:pPr>
              <w:pStyle w:val="TableParagraph"/>
              <w:rPr>
                <w:rFonts w:ascii="Times New Roman"/>
                <w:sz w:val="18"/>
              </w:rPr>
            </w:pPr>
          </w:p>
        </w:tc>
        <w:tc>
          <w:tcPr>
            <w:tcW w:w="1008" w:type="dxa"/>
          </w:tcPr>
          <w:p>
            <w:pPr>
              <w:pStyle w:val="TableParagraph"/>
              <w:spacing w:line="249" w:lineRule="exact"/>
              <w:ind w:left="17"/>
              <w:jc w:val="center"/>
              <w:rPr>
                <w:sz w:val="22"/>
              </w:rPr>
            </w:pPr>
            <w:r>
              <w:rPr>
                <w:color w:val="231F20"/>
                <w:sz w:val="22"/>
              </w:rPr>
              <w:t>629</w:t>
            </w:r>
          </w:p>
        </w:tc>
        <w:tc>
          <w:tcPr>
            <w:tcW w:w="1004" w:type="dxa"/>
          </w:tcPr>
          <w:p>
            <w:pPr>
              <w:pStyle w:val="TableParagraph"/>
              <w:rPr>
                <w:rFonts w:ascii="Times New Roman"/>
                <w:sz w:val="18"/>
              </w:rPr>
            </w:pPr>
          </w:p>
        </w:tc>
        <w:tc>
          <w:tcPr>
            <w:tcW w:w="1007" w:type="dxa"/>
          </w:tcPr>
          <w:p>
            <w:pPr>
              <w:pStyle w:val="TableParagraph"/>
              <w:spacing w:line="249" w:lineRule="exact"/>
              <w:ind w:left="17"/>
              <w:jc w:val="center"/>
              <w:rPr>
                <w:sz w:val="22"/>
              </w:rPr>
            </w:pPr>
            <w:r>
              <w:rPr>
                <w:color w:val="231F20"/>
                <w:sz w:val="22"/>
              </w:rPr>
              <w:t>483</w:t>
            </w:r>
          </w:p>
        </w:tc>
      </w:tr>
      <w:tr>
        <w:trPr>
          <w:trHeight w:val="268" w:hRule="atLeast"/>
        </w:trPr>
        <w:tc>
          <w:tcPr>
            <w:tcW w:w="4881" w:type="dxa"/>
          </w:tcPr>
          <w:p>
            <w:pPr>
              <w:pStyle w:val="TableParagraph"/>
              <w:spacing w:line="243" w:lineRule="exact"/>
              <w:ind w:left="1055"/>
              <w:rPr>
                <w:sz w:val="22"/>
              </w:rPr>
            </w:pPr>
            <w:r>
              <w:rPr>
                <w:color w:val="231F20"/>
                <w:sz w:val="22"/>
              </w:rPr>
              <w:t>Printing and Stationery</w:t>
            </w:r>
          </w:p>
        </w:tc>
        <w:tc>
          <w:tcPr>
            <w:tcW w:w="1165" w:type="dxa"/>
          </w:tcPr>
          <w:p>
            <w:pPr>
              <w:pStyle w:val="TableParagraph"/>
              <w:rPr>
                <w:rFonts w:ascii="Times New Roman"/>
                <w:sz w:val="18"/>
              </w:rPr>
            </w:pPr>
          </w:p>
        </w:tc>
        <w:tc>
          <w:tcPr>
            <w:tcW w:w="1008" w:type="dxa"/>
          </w:tcPr>
          <w:p>
            <w:pPr>
              <w:pStyle w:val="TableParagraph"/>
              <w:spacing w:line="249" w:lineRule="exact"/>
              <w:ind w:left="13"/>
              <w:jc w:val="center"/>
              <w:rPr>
                <w:sz w:val="22"/>
              </w:rPr>
            </w:pPr>
            <w:r>
              <w:rPr>
                <w:color w:val="231F20"/>
                <w:sz w:val="22"/>
              </w:rPr>
              <w:t>11,571</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7,557</w:t>
            </w:r>
          </w:p>
        </w:tc>
      </w:tr>
      <w:tr>
        <w:trPr>
          <w:trHeight w:val="268" w:hRule="atLeast"/>
        </w:trPr>
        <w:tc>
          <w:tcPr>
            <w:tcW w:w="4881" w:type="dxa"/>
          </w:tcPr>
          <w:p>
            <w:pPr>
              <w:pStyle w:val="TableParagraph"/>
              <w:spacing w:line="243" w:lineRule="exact"/>
              <w:ind w:left="1055"/>
              <w:rPr>
                <w:sz w:val="22"/>
              </w:rPr>
            </w:pPr>
            <w:r>
              <w:rPr>
                <w:color w:val="231F20"/>
                <w:sz w:val="22"/>
              </w:rPr>
              <w:t>Rent</w:t>
            </w:r>
          </w:p>
        </w:tc>
        <w:tc>
          <w:tcPr>
            <w:tcW w:w="1165" w:type="dxa"/>
          </w:tcPr>
          <w:p>
            <w:pPr>
              <w:pStyle w:val="TableParagraph"/>
              <w:rPr>
                <w:rFonts w:ascii="Times New Roman"/>
                <w:sz w:val="18"/>
              </w:rPr>
            </w:pPr>
          </w:p>
        </w:tc>
        <w:tc>
          <w:tcPr>
            <w:tcW w:w="1008" w:type="dxa"/>
          </w:tcPr>
          <w:p>
            <w:pPr>
              <w:pStyle w:val="TableParagraph"/>
              <w:spacing w:line="249" w:lineRule="exact"/>
              <w:ind w:left="13"/>
              <w:jc w:val="center"/>
              <w:rPr>
                <w:sz w:val="22"/>
              </w:rPr>
            </w:pPr>
            <w:r>
              <w:rPr>
                <w:color w:val="231F20"/>
                <w:sz w:val="22"/>
              </w:rPr>
              <w:t>26,854</w:t>
            </w:r>
          </w:p>
        </w:tc>
        <w:tc>
          <w:tcPr>
            <w:tcW w:w="1004" w:type="dxa"/>
          </w:tcPr>
          <w:p>
            <w:pPr>
              <w:pStyle w:val="TableParagraph"/>
              <w:rPr>
                <w:rFonts w:ascii="Times New Roman"/>
                <w:sz w:val="18"/>
              </w:rPr>
            </w:pPr>
          </w:p>
        </w:tc>
        <w:tc>
          <w:tcPr>
            <w:tcW w:w="1007" w:type="dxa"/>
          </w:tcPr>
          <w:p>
            <w:pPr>
              <w:pStyle w:val="TableParagraph"/>
              <w:spacing w:line="249" w:lineRule="exact"/>
              <w:ind w:left="14"/>
              <w:jc w:val="center"/>
              <w:rPr>
                <w:sz w:val="22"/>
              </w:rPr>
            </w:pPr>
            <w:r>
              <w:rPr>
                <w:color w:val="231F20"/>
                <w:sz w:val="22"/>
              </w:rPr>
              <w:t>24,119</w:t>
            </w:r>
          </w:p>
        </w:tc>
      </w:tr>
      <w:tr>
        <w:trPr>
          <w:trHeight w:val="268" w:hRule="atLeast"/>
        </w:trPr>
        <w:tc>
          <w:tcPr>
            <w:tcW w:w="4881" w:type="dxa"/>
          </w:tcPr>
          <w:p>
            <w:pPr>
              <w:pStyle w:val="TableParagraph"/>
              <w:spacing w:line="243" w:lineRule="exact"/>
              <w:ind w:left="1055"/>
              <w:rPr>
                <w:sz w:val="22"/>
              </w:rPr>
            </w:pPr>
            <w:r>
              <w:rPr>
                <w:color w:val="231F20"/>
                <w:sz w:val="22"/>
              </w:rPr>
              <w:t>Repairs and Maintenance</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3,092</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1,797</w:t>
            </w:r>
          </w:p>
        </w:tc>
      </w:tr>
      <w:tr>
        <w:trPr>
          <w:trHeight w:val="268" w:hRule="atLeast"/>
        </w:trPr>
        <w:tc>
          <w:tcPr>
            <w:tcW w:w="4881" w:type="dxa"/>
          </w:tcPr>
          <w:p>
            <w:pPr>
              <w:pStyle w:val="TableParagraph"/>
              <w:spacing w:line="243" w:lineRule="exact"/>
              <w:ind w:left="1055"/>
              <w:rPr>
                <w:sz w:val="22"/>
              </w:rPr>
            </w:pPr>
            <w:r>
              <w:rPr>
                <w:color w:val="231F20"/>
                <w:sz w:val="22"/>
              </w:rPr>
              <w:t>Salary and wages costs</w:t>
            </w:r>
          </w:p>
        </w:tc>
        <w:tc>
          <w:tcPr>
            <w:tcW w:w="1165" w:type="dxa"/>
          </w:tcPr>
          <w:p>
            <w:pPr>
              <w:pStyle w:val="TableParagraph"/>
              <w:rPr>
                <w:rFonts w:ascii="Times New Roman"/>
                <w:sz w:val="18"/>
              </w:rPr>
            </w:pPr>
          </w:p>
        </w:tc>
        <w:tc>
          <w:tcPr>
            <w:tcW w:w="1008" w:type="dxa"/>
          </w:tcPr>
          <w:p>
            <w:pPr>
              <w:pStyle w:val="TableParagraph"/>
              <w:spacing w:line="249" w:lineRule="exact"/>
              <w:ind w:left="15"/>
              <w:jc w:val="center"/>
              <w:rPr>
                <w:sz w:val="22"/>
              </w:rPr>
            </w:pPr>
            <w:r>
              <w:rPr>
                <w:color w:val="231F20"/>
                <w:sz w:val="22"/>
              </w:rPr>
              <w:t>598,579</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588,842</w:t>
            </w:r>
          </w:p>
        </w:tc>
      </w:tr>
      <w:tr>
        <w:trPr>
          <w:trHeight w:val="268" w:hRule="atLeast"/>
        </w:trPr>
        <w:tc>
          <w:tcPr>
            <w:tcW w:w="4881" w:type="dxa"/>
          </w:tcPr>
          <w:p>
            <w:pPr>
              <w:pStyle w:val="TableParagraph"/>
              <w:spacing w:line="243" w:lineRule="exact"/>
              <w:ind w:left="1055"/>
              <w:rPr>
                <w:sz w:val="22"/>
              </w:rPr>
            </w:pPr>
            <w:r>
              <w:rPr>
                <w:color w:val="231F20"/>
                <w:sz w:val="22"/>
              </w:rPr>
              <w:t>Subscriptions</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4,733</w:t>
            </w:r>
          </w:p>
        </w:tc>
        <w:tc>
          <w:tcPr>
            <w:tcW w:w="1004" w:type="dxa"/>
          </w:tcPr>
          <w:p>
            <w:pPr>
              <w:pStyle w:val="TableParagraph"/>
              <w:rPr>
                <w:rFonts w:ascii="Times New Roman"/>
                <w:sz w:val="18"/>
              </w:rPr>
            </w:pPr>
          </w:p>
        </w:tc>
        <w:tc>
          <w:tcPr>
            <w:tcW w:w="1007" w:type="dxa"/>
          </w:tcPr>
          <w:p>
            <w:pPr>
              <w:pStyle w:val="TableParagraph"/>
              <w:spacing w:line="249" w:lineRule="exact"/>
              <w:ind w:left="16"/>
              <w:jc w:val="center"/>
              <w:rPr>
                <w:sz w:val="22"/>
              </w:rPr>
            </w:pPr>
            <w:r>
              <w:rPr>
                <w:color w:val="231F20"/>
                <w:sz w:val="22"/>
              </w:rPr>
              <w:t>3,813</w:t>
            </w:r>
          </w:p>
        </w:tc>
      </w:tr>
      <w:tr>
        <w:trPr>
          <w:trHeight w:val="269" w:hRule="atLeast"/>
        </w:trPr>
        <w:tc>
          <w:tcPr>
            <w:tcW w:w="4881" w:type="dxa"/>
          </w:tcPr>
          <w:p>
            <w:pPr>
              <w:pStyle w:val="TableParagraph"/>
              <w:spacing w:line="243" w:lineRule="exact"/>
              <w:ind w:left="1055"/>
              <w:rPr>
                <w:sz w:val="22"/>
              </w:rPr>
            </w:pPr>
            <w:r>
              <w:rPr>
                <w:color w:val="231F20"/>
                <w:sz w:val="22"/>
              </w:rPr>
              <w:t>Telephones</w:t>
            </w:r>
          </w:p>
        </w:tc>
        <w:tc>
          <w:tcPr>
            <w:tcW w:w="1165" w:type="dxa"/>
          </w:tcPr>
          <w:p>
            <w:pPr>
              <w:pStyle w:val="TableParagraph"/>
              <w:rPr>
                <w:rFonts w:ascii="Times New Roman"/>
                <w:sz w:val="18"/>
              </w:rPr>
            </w:pPr>
          </w:p>
        </w:tc>
        <w:tc>
          <w:tcPr>
            <w:tcW w:w="1008" w:type="dxa"/>
          </w:tcPr>
          <w:p>
            <w:pPr>
              <w:pStyle w:val="TableParagraph"/>
              <w:spacing w:line="249" w:lineRule="exact"/>
              <w:ind w:left="13"/>
              <w:jc w:val="center"/>
              <w:rPr>
                <w:sz w:val="22"/>
              </w:rPr>
            </w:pPr>
            <w:r>
              <w:rPr>
                <w:color w:val="231F20"/>
                <w:sz w:val="22"/>
              </w:rPr>
              <w:t>11,184</w:t>
            </w:r>
          </w:p>
        </w:tc>
        <w:tc>
          <w:tcPr>
            <w:tcW w:w="1004" w:type="dxa"/>
          </w:tcPr>
          <w:p>
            <w:pPr>
              <w:pStyle w:val="TableParagraph"/>
              <w:rPr>
                <w:rFonts w:ascii="Times New Roman"/>
                <w:sz w:val="18"/>
              </w:rPr>
            </w:pPr>
          </w:p>
        </w:tc>
        <w:tc>
          <w:tcPr>
            <w:tcW w:w="1007" w:type="dxa"/>
          </w:tcPr>
          <w:p>
            <w:pPr>
              <w:pStyle w:val="TableParagraph"/>
              <w:spacing w:line="249" w:lineRule="exact"/>
              <w:ind w:left="14"/>
              <w:jc w:val="center"/>
              <w:rPr>
                <w:sz w:val="22"/>
              </w:rPr>
            </w:pPr>
            <w:r>
              <w:rPr>
                <w:color w:val="231F20"/>
                <w:sz w:val="22"/>
              </w:rPr>
              <w:t>11,961</w:t>
            </w:r>
          </w:p>
        </w:tc>
      </w:tr>
      <w:tr>
        <w:trPr>
          <w:trHeight w:val="269" w:hRule="atLeast"/>
        </w:trPr>
        <w:tc>
          <w:tcPr>
            <w:tcW w:w="4881" w:type="dxa"/>
          </w:tcPr>
          <w:p>
            <w:pPr>
              <w:pStyle w:val="TableParagraph"/>
              <w:spacing w:line="243" w:lineRule="exact"/>
              <w:ind w:left="1055"/>
              <w:rPr>
                <w:sz w:val="22"/>
              </w:rPr>
            </w:pPr>
            <w:r>
              <w:rPr>
                <w:color w:val="231F20"/>
                <w:sz w:val="22"/>
              </w:rPr>
              <w:t>Transport Costs</w:t>
            </w:r>
          </w:p>
        </w:tc>
        <w:tc>
          <w:tcPr>
            <w:tcW w:w="1165" w:type="dxa"/>
          </w:tcPr>
          <w:p>
            <w:pPr>
              <w:pStyle w:val="TableParagraph"/>
              <w:rPr>
                <w:rFonts w:ascii="Times New Roman"/>
                <w:sz w:val="18"/>
              </w:rPr>
            </w:pPr>
          </w:p>
        </w:tc>
        <w:tc>
          <w:tcPr>
            <w:tcW w:w="1008" w:type="dxa"/>
          </w:tcPr>
          <w:p>
            <w:pPr>
              <w:pStyle w:val="TableParagraph"/>
              <w:spacing w:line="249" w:lineRule="exact"/>
              <w:ind w:left="16"/>
              <w:jc w:val="center"/>
              <w:rPr>
                <w:sz w:val="22"/>
              </w:rPr>
            </w:pPr>
            <w:r>
              <w:rPr>
                <w:color w:val="231F20"/>
                <w:sz w:val="22"/>
              </w:rPr>
              <w:t>8,748</w:t>
            </w:r>
          </w:p>
        </w:tc>
        <w:tc>
          <w:tcPr>
            <w:tcW w:w="1004" w:type="dxa"/>
          </w:tcPr>
          <w:p>
            <w:pPr>
              <w:pStyle w:val="TableParagraph"/>
              <w:rPr>
                <w:rFonts w:ascii="Times New Roman"/>
                <w:sz w:val="18"/>
              </w:rPr>
            </w:pPr>
          </w:p>
        </w:tc>
        <w:tc>
          <w:tcPr>
            <w:tcW w:w="1007" w:type="dxa"/>
          </w:tcPr>
          <w:p>
            <w:pPr>
              <w:pStyle w:val="TableParagraph"/>
              <w:spacing w:line="249" w:lineRule="exact"/>
              <w:ind w:left="14"/>
              <w:jc w:val="center"/>
              <w:rPr>
                <w:sz w:val="22"/>
              </w:rPr>
            </w:pPr>
            <w:r>
              <w:rPr>
                <w:color w:val="231F20"/>
                <w:sz w:val="22"/>
              </w:rPr>
              <w:t>31,656</w:t>
            </w:r>
          </w:p>
        </w:tc>
      </w:tr>
      <w:tr>
        <w:trPr>
          <w:trHeight w:val="268" w:hRule="atLeast"/>
        </w:trPr>
        <w:tc>
          <w:tcPr>
            <w:tcW w:w="4881" w:type="dxa"/>
          </w:tcPr>
          <w:p>
            <w:pPr>
              <w:pStyle w:val="TableParagraph"/>
              <w:spacing w:line="243" w:lineRule="exact"/>
              <w:ind w:left="1055"/>
              <w:rPr>
                <w:sz w:val="22"/>
              </w:rPr>
            </w:pPr>
            <w:r>
              <w:rPr>
                <w:color w:val="231F20"/>
                <w:sz w:val="22"/>
              </w:rPr>
              <w:t>Workshops/consultants</w:t>
            </w:r>
          </w:p>
        </w:tc>
        <w:tc>
          <w:tcPr>
            <w:tcW w:w="1165" w:type="dxa"/>
          </w:tcPr>
          <w:p>
            <w:pPr>
              <w:pStyle w:val="TableParagraph"/>
              <w:rPr>
                <w:rFonts w:ascii="Times New Roman"/>
                <w:sz w:val="18"/>
              </w:rPr>
            </w:pPr>
          </w:p>
        </w:tc>
        <w:tc>
          <w:tcPr>
            <w:tcW w:w="1008" w:type="dxa"/>
          </w:tcPr>
          <w:p>
            <w:pPr>
              <w:pStyle w:val="TableParagraph"/>
              <w:spacing w:line="249" w:lineRule="exact"/>
              <w:ind w:left="13"/>
              <w:jc w:val="center"/>
              <w:rPr>
                <w:sz w:val="22"/>
              </w:rPr>
            </w:pPr>
            <w:r>
              <w:rPr>
                <w:color w:val="231F20"/>
                <w:sz w:val="22"/>
              </w:rPr>
              <w:t>83,996</w:t>
            </w:r>
          </w:p>
        </w:tc>
        <w:tc>
          <w:tcPr>
            <w:tcW w:w="1004" w:type="dxa"/>
          </w:tcPr>
          <w:p>
            <w:pPr>
              <w:pStyle w:val="TableParagraph"/>
              <w:rPr>
                <w:rFonts w:ascii="Times New Roman"/>
                <w:sz w:val="18"/>
              </w:rPr>
            </w:pPr>
          </w:p>
        </w:tc>
        <w:tc>
          <w:tcPr>
            <w:tcW w:w="1007" w:type="dxa"/>
          </w:tcPr>
          <w:p>
            <w:pPr>
              <w:pStyle w:val="TableParagraph"/>
              <w:spacing w:line="249" w:lineRule="exact"/>
              <w:ind w:left="14"/>
              <w:jc w:val="center"/>
              <w:rPr>
                <w:sz w:val="22"/>
              </w:rPr>
            </w:pPr>
            <w:r>
              <w:rPr>
                <w:color w:val="231F20"/>
                <w:sz w:val="22"/>
              </w:rPr>
              <w:t>21,706</w:t>
            </w:r>
          </w:p>
        </w:tc>
      </w:tr>
      <w:tr>
        <w:trPr>
          <w:trHeight w:val="514" w:hRule="atLeast"/>
        </w:trPr>
        <w:tc>
          <w:tcPr>
            <w:tcW w:w="4881" w:type="dxa"/>
          </w:tcPr>
          <w:p>
            <w:pPr>
              <w:pStyle w:val="TableParagraph"/>
              <w:spacing w:line="243" w:lineRule="exact"/>
              <w:ind w:left="1055"/>
              <w:rPr>
                <w:sz w:val="22"/>
              </w:rPr>
            </w:pPr>
            <w:r>
              <w:rPr>
                <w:color w:val="231F20"/>
                <w:sz w:val="22"/>
              </w:rPr>
              <w:t>Other Expenses</w:t>
            </w:r>
          </w:p>
        </w:tc>
        <w:tc>
          <w:tcPr>
            <w:tcW w:w="1165" w:type="dxa"/>
          </w:tcPr>
          <w:p>
            <w:pPr>
              <w:pStyle w:val="TableParagraph"/>
              <w:rPr>
                <w:rFonts w:ascii="Times New Roman"/>
                <w:sz w:val="22"/>
              </w:rPr>
            </w:pPr>
          </w:p>
        </w:tc>
        <w:tc>
          <w:tcPr>
            <w:tcW w:w="1008" w:type="dxa"/>
            <w:tcBorders>
              <w:bottom w:val="single" w:sz="8" w:space="0" w:color="231F20"/>
            </w:tcBorders>
          </w:tcPr>
          <w:p>
            <w:pPr>
              <w:pStyle w:val="TableParagraph"/>
              <w:spacing w:line="255" w:lineRule="exact"/>
              <w:ind w:left="13"/>
              <w:jc w:val="center"/>
              <w:rPr>
                <w:sz w:val="22"/>
              </w:rPr>
            </w:pPr>
            <w:r>
              <w:rPr>
                <w:color w:val="231F20"/>
                <w:sz w:val="22"/>
              </w:rPr>
              <w:t>37,178</w:t>
            </w:r>
          </w:p>
        </w:tc>
        <w:tc>
          <w:tcPr>
            <w:tcW w:w="1004" w:type="dxa"/>
          </w:tcPr>
          <w:p>
            <w:pPr>
              <w:pStyle w:val="TableParagraph"/>
              <w:rPr>
                <w:rFonts w:ascii="Times New Roman"/>
                <w:sz w:val="22"/>
              </w:rPr>
            </w:pPr>
          </w:p>
        </w:tc>
        <w:tc>
          <w:tcPr>
            <w:tcW w:w="1007" w:type="dxa"/>
            <w:tcBorders>
              <w:bottom w:val="single" w:sz="8" w:space="0" w:color="231F20"/>
            </w:tcBorders>
          </w:tcPr>
          <w:p>
            <w:pPr>
              <w:pStyle w:val="TableParagraph"/>
              <w:spacing w:line="255" w:lineRule="exact"/>
              <w:ind w:left="14"/>
              <w:jc w:val="center"/>
              <w:rPr>
                <w:sz w:val="22"/>
              </w:rPr>
            </w:pPr>
            <w:r>
              <w:rPr>
                <w:color w:val="231F20"/>
                <w:sz w:val="22"/>
              </w:rPr>
              <w:t>29,295</w:t>
            </w:r>
          </w:p>
        </w:tc>
      </w:tr>
      <w:tr>
        <w:trPr>
          <w:trHeight w:val="406" w:hRule="atLeast"/>
        </w:trPr>
        <w:tc>
          <w:tcPr>
            <w:tcW w:w="4881" w:type="dxa"/>
          </w:tcPr>
          <w:p>
            <w:pPr>
              <w:pStyle w:val="TableParagraph"/>
              <w:spacing w:line="246" w:lineRule="exact"/>
              <w:ind w:left="50"/>
              <w:rPr>
                <w:b/>
                <w:sz w:val="22"/>
              </w:rPr>
            </w:pPr>
            <w:r>
              <w:rPr>
                <w:b/>
                <w:color w:val="231F20"/>
                <w:sz w:val="22"/>
              </w:rPr>
              <w:t>Total Expenses from Ordinary Activities</w:t>
            </w:r>
          </w:p>
        </w:tc>
        <w:tc>
          <w:tcPr>
            <w:tcW w:w="1165" w:type="dxa"/>
          </w:tcPr>
          <w:p>
            <w:pPr>
              <w:pStyle w:val="TableParagraph"/>
              <w:rPr>
                <w:rFonts w:ascii="Times New Roman"/>
                <w:sz w:val="22"/>
              </w:rPr>
            </w:pPr>
          </w:p>
        </w:tc>
        <w:tc>
          <w:tcPr>
            <w:tcW w:w="1008" w:type="dxa"/>
            <w:tcBorders>
              <w:top w:val="single" w:sz="8" w:space="0" w:color="231F20"/>
            </w:tcBorders>
          </w:tcPr>
          <w:p>
            <w:pPr>
              <w:pStyle w:val="TableParagraph"/>
              <w:spacing w:line="258" w:lineRule="exact"/>
              <w:jc w:val="center"/>
              <w:rPr>
                <w:sz w:val="22"/>
              </w:rPr>
            </w:pPr>
            <w:r>
              <w:rPr>
                <w:color w:val="231F20"/>
                <w:w w:val="100"/>
                <w:sz w:val="22"/>
                <w:u w:val="double" w:color="231F20"/>
              </w:rPr>
              <w:t> </w:t>
            </w:r>
            <w:r>
              <w:rPr>
                <w:color w:val="231F20"/>
                <w:sz w:val="22"/>
                <w:u w:val="double" w:color="231F20"/>
              </w:rPr>
              <w:t>  841,</w:t>
            </w:r>
            <w:r>
              <w:rPr>
                <w:color w:val="231F20"/>
                <w:sz w:val="22"/>
                <w:u w:val="single" w:color="231F20"/>
              </w:rPr>
              <w:t>91</w:t>
            </w:r>
            <w:r>
              <w:rPr>
                <w:color w:val="231F20"/>
                <w:sz w:val="22"/>
              </w:rPr>
              <w:t>6 </w:t>
            </w:r>
          </w:p>
        </w:tc>
        <w:tc>
          <w:tcPr>
            <w:tcW w:w="1004" w:type="dxa"/>
          </w:tcPr>
          <w:p>
            <w:pPr>
              <w:pStyle w:val="TableParagraph"/>
              <w:rPr>
                <w:rFonts w:ascii="Times New Roman"/>
                <w:sz w:val="22"/>
              </w:rPr>
            </w:pPr>
          </w:p>
        </w:tc>
        <w:tc>
          <w:tcPr>
            <w:tcW w:w="1007" w:type="dxa"/>
            <w:tcBorders>
              <w:top w:val="single" w:sz="8" w:space="0" w:color="231F20"/>
            </w:tcBorders>
          </w:tcPr>
          <w:p>
            <w:pPr>
              <w:pStyle w:val="TableParagraph"/>
              <w:spacing w:line="258" w:lineRule="exact"/>
              <w:jc w:val="center"/>
              <w:rPr>
                <w:sz w:val="22"/>
              </w:rPr>
            </w:pPr>
            <w:r>
              <w:rPr>
                <w:color w:val="231F20"/>
                <w:w w:val="100"/>
                <w:sz w:val="22"/>
                <w:u w:val="double" w:color="231F20"/>
              </w:rPr>
              <w:t> </w:t>
            </w:r>
            <w:r>
              <w:rPr>
                <w:color w:val="231F20"/>
                <w:sz w:val="22"/>
                <w:u w:val="double" w:color="231F20"/>
              </w:rPr>
              <w:t>  767,</w:t>
            </w:r>
            <w:r>
              <w:rPr>
                <w:color w:val="231F20"/>
                <w:sz w:val="22"/>
                <w:u w:val="single" w:color="231F20"/>
              </w:rPr>
              <w:t>79</w:t>
            </w:r>
            <w:r>
              <w:rPr>
                <w:color w:val="231F20"/>
                <w:sz w:val="22"/>
              </w:rPr>
              <w:t>4 </w:t>
            </w:r>
          </w:p>
        </w:tc>
      </w:tr>
      <w:tr>
        <w:trPr>
          <w:trHeight w:val="537" w:hRule="atLeast"/>
        </w:trPr>
        <w:tc>
          <w:tcPr>
            <w:tcW w:w="4881" w:type="dxa"/>
          </w:tcPr>
          <w:p>
            <w:pPr>
              <w:pStyle w:val="TableParagraph"/>
              <w:spacing w:before="108"/>
              <w:ind w:left="50"/>
              <w:rPr>
                <w:b/>
                <w:sz w:val="22"/>
              </w:rPr>
            </w:pPr>
            <w:r>
              <w:rPr>
                <w:b/>
                <w:color w:val="231F20"/>
                <w:sz w:val="22"/>
              </w:rPr>
              <w:t>Operating surplus/(deficit)</w:t>
            </w:r>
          </w:p>
        </w:tc>
        <w:tc>
          <w:tcPr>
            <w:tcW w:w="1165" w:type="dxa"/>
          </w:tcPr>
          <w:p>
            <w:pPr>
              <w:pStyle w:val="TableParagraph"/>
              <w:rPr>
                <w:rFonts w:ascii="Times New Roman"/>
                <w:sz w:val="22"/>
              </w:rPr>
            </w:pPr>
          </w:p>
        </w:tc>
        <w:tc>
          <w:tcPr>
            <w:tcW w:w="1008" w:type="dxa"/>
          </w:tcPr>
          <w:p>
            <w:pPr>
              <w:pStyle w:val="TableParagraph"/>
              <w:spacing w:before="120"/>
              <w:ind w:left="13"/>
              <w:jc w:val="center"/>
              <w:rPr>
                <w:sz w:val="22"/>
              </w:rPr>
            </w:pPr>
            <w:r>
              <w:rPr>
                <w:color w:val="231F20"/>
                <w:sz w:val="22"/>
              </w:rPr>
              <w:t>66,174</w:t>
            </w:r>
          </w:p>
        </w:tc>
        <w:tc>
          <w:tcPr>
            <w:tcW w:w="1004" w:type="dxa"/>
          </w:tcPr>
          <w:p>
            <w:pPr>
              <w:pStyle w:val="TableParagraph"/>
              <w:rPr>
                <w:rFonts w:ascii="Times New Roman"/>
                <w:sz w:val="22"/>
              </w:rPr>
            </w:pPr>
          </w:p>
        </w:tc>
        <w:tc>
          <w:tcPr>
            <w:tcW w:w="1007" w:type="dxa"/>
          </w:tcPr>
          <w:p>
            <w:pPr>
              <w:pStyle w:val="TableParagraph"/>
              <w:spacing w:before="120"/>
              <w:ind w:left="14"/>
              <w:jc w:val="center"/>
              <w:rPr>
                <w:sz w:val="22"/>
              </w:rPr>
            </w:pPr>
            <w:r>
              <w:rPr>
                <w:color w:val="231F20"/>
                <w:sz w:val="22"/>
              </w:rPr>
              <w:t>45,217</w:t>
            </w:r>
          </w:p>
        </w:tc>
      </w:tr>
      <w:tr>
        <w:trPr>
          <w:trHeight w:val="397" w:hRule="atLeast"/>
        </w:trPr>
        <w:tc>
          <w:tcPr>
            <w:tcW w:w="4881" w:type="dxa"/>
          </w:tcPr>
          <w:p>
            <w:pPr>
              <w:pStyle w:val="TableParagraph"/>
              <w:spacing w:before="108"/>
              <w:ind w:left="50"/>
              <w:rPr>
                <w:b/>
                <w:sz w:val="22"/>
              </w:rPr>
            </w:pPr>
            <w:r>
              <w:rPr>
                <w:b/>
                <w:color w:val="231F20"/>
                <w:sz w:val="22"/>
              </w:rPr>
              <w:t>Non-Operating Expenses</w:t>
            </w:r>
          </w:p>
        </w:tc>
        <w:tc>
          <w:tcPr>
            <w:tcW w:w="1165" w:type="dxa"/>
          </w:tcPr>
          <w:p>
            <w:pPr>
              <w:pStyle w:val="TableParagraph"/>
              <w:rPr>
                <w:rFonts w:ascii="Times New Roman"/>
                <w:sz w:val="22"/>
              </w:rPr>
            </w:pPr>
          </w:p>
        </w:tc>
        <w:tc>
          <w:tcPr>
            <w:tcW w:w="1008" w:type="dxa"/>
          </w:tcPr>
          <w:p>
            <w:pPr>
              <w:pStyle w:val="TableParagraph"/>
              <w:rPr>
                <w:rFonts w:ascii="Times New Roman"/>
                <w:sz w:val="22"/>
              </w:rPr>
            </w:pPr>
          </w:p>
        </w:tc>
        <w:tc>
          <w:tcPr>
            <w:tcW w:w="1004" w:type="dxa"/>
          </w:tcPr>
          <w:p>
            <w:pPr>
              <w:pStyle w:val="TableParagraph"/>
              <w:rPr>
                <w:rFonts w:ascii="Times New Roman"/>
                <w:sz w:val="22"/>
              </w:rPr>
            </w:pPr>
          </w:p>
        </w:tc>
        <w:tc>
          <w:tcPr>
            <w:tcW w:w="1007" w:type="dxa"/>
          </w:tcPr>
          <w:p>
            <w:pPr>
              <w:pStyle w:val="TableParagraph"/>
              <w:rPr>
                <w:rFonts w:ascii="Times New Roman"/>
                <w:sz w:val="22"/>
              </w:rPr>
            </w:pPr>
          </w:p>
        </w:tc>
      </w:tr>
      <w:tr>
        <w:trPr>
          <w:trHeight w:val="409" w:hRule="atLeast"/>
        </w:trPr>
        <w:tc>
          <w:tcPr>
            <w:tcW w:w="4881" w:type="dxa"/>
          </w:tcPr>
          <w:p>
            <w:pPr>
              <w:pStyle w:val="TableParagraph"/>
              <w:spacing w:line="249" w:lineRule="exact"/>
              <w:ind w:left="50"/>
              <w:rPr>
                <w:sz w:val="22"/>
              </w:rPr>
            </w:pPr>
            <w:r>
              <w:rPr>
                <w:color w:val="231F20"/>
                <w:sz w:val="22"/>
              </w:rPr>
              <w:t>Profit/ Loss on Sale of Assets</w:t>
            </w:r>
          </w:p>
        </w:tc>
        <w:tc>
          <w:tcPr>
            <w:tcW w:w="1165" w:type="dxa"/>
          </w:tcPr>
          <w:p>
            <w:pPr>
              <w:pStyle w:val="TableParagraph"/>
              <w:spacing w:line="249" w:lineRule="exact"/>
              <w:ind w:left="177"/>
              <w:jc w:val="center"/>
              <w:rPr>
                <w:sz w:val="22"/>
              </w:rPr>
            </w:pPr>
            <w:r>
              <w:rPr>
                <w:color w:val="231F20"/>
                <w:w w:val="100"/>
                <w:sz w:val="22"/>
              </w:rPr>
              <w:t>7</w:t>
            </w:r>
          </w:p>
        </w:tc>
        <w:tc>
          <w:tcPr>
            <w:tcW w:w="1008" w:type="dxa"/>
          </w:tcPr>
          <w:p>
            <w:pPr>
              <w:pStyle w:val="TableParagraph"/>
              <w:spacing w:line="261" w:lineRule="exact"/>
              <w:jc w:val="center"/>
              <w:rPr>
                <w:sz w:val="22"/>
              </w:rPr>
            </w:pPr>
            <w:r>
              <w:rPr>
                <w:color w:val="231F20"/>
                <w:w w:val="100"/>
                <w:sz w:val="22"/>
                <w:u w:val="double" w:color="231F20"/>
              </w:rPr>
              <w:t> </w:t>
            </w:r>
            <w:r>
              <w:rPr>
                <w:color w:val="231F20"/>
                <w:sz w:val="22"/>
                <w:u w:val="double" w:color="231F20"/>
              </w:rPr>
              <w:t>   (2,</w:t>
            </w:r>
            <w:r>
              <w:rPr>
                <w:color w:val="231F20"/>
                <w:sz w:val="22"/>
                <w:u w:val="single" w:color="231F20"/>
              </w:rPr>
              <w:t>097</w:t>
            </w:r>
            <w:r>
              <w:rPr>
                <w:color w:val="231F20"/>
                <w:sz w:val="22"/>
              </w:rPr>
              <w:t>) </w:t>
            </w:r>
          </w:p>
        </w:tc>
        <w:tc>
          <w:tcPr>
            <w:tcW w:w="1004" w:type="dxa"/>
          </w:tcPr>
          <w:p>
            <w:pPr>
              <w:pStyle w:val="TableParagraph"/>
              <w:rPr>
                <w:rFonts w:ascii="Times New Roman"/>
                <w:sz w:val="22"/>
              </w:rPr>
            </w:pPr>
          </w:p>
        </w:tc>
        <w:tc>
          <w:tcPr>
            <w:tcW w:w="1007" w:type="dxa"/>
          </w:tcPr>
          <w:p>
            <w:pPr>
              <w:pStyle w:val="TableParagraph"/>
              <w:tabs>
                <w:tab w:pos="455" w:val="left" w:leader="none"/>
                <w:tab w:pos="1006" w:val="left" w:leader="none"/>
              </w:tabs>
              <w:spacing w:line="261" w:lineRule="exact"/>
              <w:jc w:val="center"/>
              <w:rPr>
                <w:sz w:val="22"/>
              </w:rPr>
            </w:pPr>
            <w:r>
              <w:rPr>
                <w:color w:val="231F20"/>
                <w:w w:val="100"/>
                <w:sz w:val="22"/>
                <w:u w:val="double" w:color="231F20"/>
              </w:rPr>
              <w:t> </w:t>
            </w:r>
            <w:r>
              <w:rPr>
                <w:color w:val="231F20"/>
                <w:sz w:val="22"/>
                <w:u w:val="double" w:color="231F20"/>
              </w:rPr>
              <w:tab/>
              <w:t>0</w:t>
              <w:tab/>
            </w:r>
          </w:p>
        </w:tc>
      </w:tr>
      <w:tr>
        <w:trPr>
          <w:trHeight w:val="385" w:hRule="atLeast"/>
        </w:trPr>
        <w:tc>
          <w:tcPr>
            <w:tcW w:w="4881" w:type="dxa"/>
          </w:tcPr>
          <w:p>
            <w:pPr>
              <w:pStyle w:val="TableParagraph"/>
              <w:spacing w:line="257" w:lineRule="exact" w:before="108"/>
              <w:ind w:left="50"/>
              <w:rPr>
                <w:b/>
                <w:sz w:val="22"/>
              </w:rPr>
            </w:pPr>
            <w:r>
              <w:rPr>
                <w:b/>
                <w:color w:val="231F20"/>
                <w:sz w:val="22"/>
              </w:rPr>
              <w:t>Total surplus/(deficit)</w:t>
            </w:r>
          </w:p>
        </w:tc>
        <w:tc>
          <w:tcPr>
            <w:tcW w:w="1165" w:type="dxa"/>
          </w:tcPr>
          <w:p>
            <w:pPr>
              <w:pStyle w:val="TableParagraph"/>
              <w:rPr>
                <w:rFonts w:ascii="Times New Roman"/>
                <w:sz w:val="22"/>
              </w:rPr>
            </w:pPr>
          </w:p>
        </w:tc>
        <w:tc>
          <w:tcPr>
            <w:tcW w:w="1008" w:type="dxa"/>
          </w:tcPr>
          <w:p>
            <w:pPr>
              <w:pStyle w:val="TableParagraph"/>
              <w:spacing w:line="245" w:lineRule="exact" w:before="120"/>
              <w:jc w:val="center"/>
              <w:rPr>
                <w:sz w:val="22"/>
              </w:rPr>
            </w:pPr>
            <w:r>
              <w:rPr>
                <w:color w:val="231F20"/>
                <w:w w:val="100"/>
                <w:sz w:val="22"/>
                <w:u w:val="double" w:color="231F20"/>
              </w:rPr>
              <w:t> </w:t>
            </w:r>
            <w:r>
              <w:rPr>
                <w:color w:val="231F20"/>
                <w:sz w:val="22"/>
                <w:u w:val="double" w:color="231F20"/>
              </w:rPr>
              <w:t>   64,</w:t>
            </w:r>
            <w:r>
              <w:rPr>
                <w:color w:val="231F20"/>
                <w:sz w:val="22"/>
                <w:u w:val="single" w:color="231F20"/>
              </w:rPr>
              <w:t>07</w:t>
            </w:r>
            <w:r>
              <w:rPr>
                <w:color w:val="231F20"/>
                <w:sz w:val="22"/>
              </w:rPr>
              <w:t>7 </w:t>
            </w:r>
          </w:p>
        </w:tc>
        <w:tc>
          <w:tcPr>
            <w:tcW w:w="1004" w:type="dxa"/>
          </w:tcPr>
          <w:p>
            <w:pPr>
              <w:pStyle w:val="TableParagraph"/>
              <w:rPr>
                <w:rFonts w:ascii="Times New Roman"/>
                <w:sz w:val="22"/>
              </w:rPr>
            </w:pPr>
          </w:p>
        </w:tc>
        <w:tc>
          <w:tcPr>
            <w:tcW w:w="1007" w:type="dxa"/>
          </w:tcPr>
          <w:p>
            <w:pPr>
              <w:pStyle w:val="TableParagraph"/>
              <w:spacing w:line="245" w:lineRule="exact" w:before="120"/>
              <w:jc w:val="center"/>
              <w:rPr>
                <w:sz w:val="22"/>
              </w:rPr>
            </w:pPr>
            <w:r>
              <w:rPr>
                <w:color w:val="231F20"/>
                <w:w w:val="100"/>
                <w:sz w:val="22"/>
                <w:u w:val="double" w:color="231F20"/>
              </w:rPr>
              <w:t> </w:t>
            </w:r>
            <w:r>
              <w:rPr>
                <w:color w:val="231F20"/>
                <w:sz w:val="22"/>
                <w:u w:val="double" w:color="231F20"/>
              </w:rPr>
              <w:t>   45,</w:t>
            </w:r>
            <w:r>
              <w:rPr>
                <w:color w:val="231F20"/>
                <w:sz w:val="22"/>
                <w:u w:val="single" w:color="231F20"/>
              </w:rPr>
              <w:t>21</w:t>
            </w:r>
            <w:r>
              <w:rPr>
                <w:color w:val="231F20"/>
                <w:sz w:val="22"/>
              </w:rPr>
              <w:t>7 </w:t>
            </w:r>
          </w:p>
        </w:tc>
      </w:tr>
    </w:tbl>
    <w:p>
      <w:pPr>
        <w:spacing w:after="0" w:line="245" w:lineRule="exact"/>
        <w:jc w:val="center"/>
        <w:rPr>
          <w:sz w:val="22"/>
        </w:rPr>
        <w:sectPr>
          <w:headerReference w:type="default" r:id="rId77"/>
          <w:pgSz w:w="11910" w:h="16840"/>
          <w:pgMar w:header="0" w:footer="524" w:top="960" w:bottom="720" w:left="0" w:right="220"/>
        </w:sectPr>
      </w:pPr>
    </w:p>
    <w:p>
      <w:pPr>
        <w:pStyle w:val="BodyText"/>
        <w:rPr>
          <w:rFonts w:ascii="Calibri"/>
          <w:b/>
          <w:sz w:val="20"/>
        </w:rPr>
      </w:pPr>
    </w:p>
    <w:p>
      <w:pPr>
        <w:pStyle w:val="BodyText"/>
        <w:rPr>
          <w:rFonts w:ascii="Calibri"/>
          <w:b/>
          <w:sz w:val="20"/>
        </w:rPr>
      </w:pPr>
    </w:p>
    <w:p>
      <w:pPr>
        <w:pStyle w:val="BodyText"/>
        <w:spacing w:before="7"/>
        <w:rPr>
          <w:rFonts w:ascii="Calibri"/>
          <w:b/>
          <w:sz w:val="29"/>
        </w:rPr>
      </w:pPr>
    </w:p>
    <w:p>
      <w:pPr>
        <w:spacing w:before="56"/>
        <w:ind w:left="217" w:right="0" w:firstLine="0"/>
        <w:jc w:val="center"/>
        <w:rPr>
          <w:rFonts w:ascii="Calibri"/>
          <w:b/>
          <w:sz w:val="22"/>
        </w:rPr>
      </w:pPr>
      <w:r>
        <w:rPr>
          <w:rFonts w:ascii="Calibri"/>
          <w:b/>
          <w:color w:val="231F20"/>
          <w:sz w:val="22"/>
          <w:u w:val="single" w:color="231F20"/>
        </w:rPr>
        <w:t>PEOPLE WITH DISABILITIES (WA) INC</w:t>
      </w:r>
    </w:p>
    <w:p>
      <w:pPr>
        <w:pStyle w:val="BodyText"/>
        <w:spacing w:before="6"/>
        <w:rPr>
          <w:rFonts w:ascii="Calibri"/>
          <w:b/>
          <w:sz w:val="17"/>
        </w:rPr>
      </w:pPr>
    </w:p>
    <w:p>
      <w:pPr>
        <w:spacing w:before="56"/>
        <w:ind w:left="4515" w:right="3779" w:hanging="512"/>
        <w:jc w:val="left"/>
        <w:rPr>
          <w:rFonts w:ascii="Calibri"/>
          <w:b/>
          <w:sz w:val="22"/>
        </w:rPr>
      </w:pPr>
      <w:r>
        <w:rPr>
          <w:rFonts w:ascii="Calibri"/>
          <w:b/>
          <w:color w:val="231F20"/>
          <w:sz w:val="22"/>
          <w:u w:val="single" w:color="231F20"/>
        </w:rPr>
        <w:t>Notes to and Forming Part of the Accounts</w:t>
      </w:r>
      <w:r>
        <w:rPr>
          <w:rFonts w:ascii="Calibri"/>
          <w:b/>
          <w:color w:val="231F20"/>
          <w:sz w:val="22"/>
        </w:rPr>
        <w:t> </w:t>
      </w:r>
      <w:r>
        <w:rPr>
          <w:rFonts w:ascii="Calibri"/>
          <w:b/>
          <w:color w:val="231F20"/>
          <w:sz w:val="22"/>
          <w:u w:val="single" w:color="231F20"/>
        </w:rPr>
        <w:t>For the year ended 30/06/2015</w:t>
      </w:r>
    </w:p>
    <w:p>
      <w:pPr>
        <w:pStyle w:val="BodyText"/>
        <w:rPr>
          <w:rFonts w:ascii="Calibri"/>
          <w:b/>
          <w:sz w:val="20"/>
        </w:rPr>
      </w:pPr>
    </w:p>
    <w:p>
      <w:pPr>
        <w:pStyle w:val="BodyText"/>
        <w:spacing w:before="6"/>
        <w:rPr>
          <w:rFonts w:ascii="Calibri"/>
          <w:b/>
          <w:sz w:val="19"/>
        </w:rPr>
      </w:pPr>
    </w:p>
    <w:p>
      <w:pPr>
        <w:tabs>
          <w:tab w:pos="4688" w:val="left" w:leader="none"/>
        </w:tabs>
        <w:spacing w:before="56"/>
        <w:ind w:left="1690" w:right="0" w:firstLine="0"/>
        <w:jc w:val="left"/>
        <w:rPr>
          <w:rFonts w:ascii="Calibri"/>
          <w:b/>
          <w:sz w:val="22"/>
        </w:rPr>
      </w:pPr>
      <w:r>
        <w:rPr>
          <w:rFonts w:ascii="Calibri"/>
          <w:b/>
          <w:color w:val="231F20"/>
          <w:sz w:val="22"/>
        </w:rPr>
        <w:t>1</w:t>
        <w:tab/>
      </w:r>
      <w:r>
        <w:rPr>
          <w:rFonts w:ascii="Calibri"/>
          <w:b/>
          <w:color w:val="231F20"/>
          <w:position w:val="1"/>
          <w:sz w:val="22"/>
        </w:rPr>
        <w:t>Summary of Accounting</w:t>
      </w:r>
      <w:r>
        <w:rPr>
          <w:rFonts w:ascii="Calibri"/>
          <w:b/>
          <w:color w:val="231F20"/>
          <w:spacing w:val="-2"/>
          <w:position w:val="1"/>
          <w:sz w:val="22"/>
        </w:rPr>
        <w:t> </w:t>
      </w:r>
      <w:r>
        <w:rPr>
          <w:rFonts w:ascii="Calibri"/>
          <w:b/>
          <w:color w:val="231F20"/>
          <w:position w:val="1"/>
          <w:sz w:val="22"/>
        </w:rPr>
        <w:t>Policies</w:t>
      </w:r>
    </w:p>
    <w:p>
      <w:pPr>
        <w:pStyle w:val="BodyText"/>
        <w:spacing w:before="7"/>
        <w:rPr>
          <w:rFonts w:ascii="Calibri"/>
          <w:b/>
          <w:sz w:val="17"/>
        </w:rPr>
      </w:pPr>
    </w:p>
    <w:p>
      <w:pPr>
        <w:spacing w:line="211" w:lineRule="auto" w:before="82"/>
        <w:ind w:left="1978" w:right="1215" w:firstLine="0"/>
        <w:jc w:val="left"/>
        <w:rPr>
          <w:rFonts w:ascii="Calibri"/>
          <w:sz w:val="22"/>
        </w:rPr>
      </w:pPr>
      <w:r>
        <w:rPr>
          <w:rFonts w:ascii="Calibri"/>
          <w:color w:val="231F20"/>
          <w:sz w:val="22"/>
        </w:rPr>
        <w:t>The principal accounting policies of the Association, which are set out below, have been consistently followed in all material aspects.</w:t>
      </w:r>
    </w:p>
    <w:p>
      <w:pPr>
        <w:pStyle w:val="BodyText"/>
        <w:rPr>
          <w:rFonts w:ascii="Calibri"/>
          <w:sz w:val="13"/>
        </w:rPr>
      </w:pPr>
    </w:p>
    <w:p>
      <w:pPr>
        <w:pStyle w:val="ListParagraph"/>
        <w:numPr>
          <w:ilvl w:val="0"/>
          <w:numId w:val="8"/>
        </w:numPr>
        <w:tabs>
          <w:tab w:pos="1979" w:val="left" w:leader="none"/>
        </w:tabs>
        <w:spacing w:line="240" w:lineRule="auto" w:before="56" w:after="0"/>
        <w:ind w:left="1978" w:right="0" w:hanging="353"/>
        <w:jc w:val="left"/>
        <w:rPr>
          <w:rFonts w:ascii="Calibri"/>
          <w:sz w:val="22"/>
        </w:rPr>
      </w:pPr>
      <w:r>
        <w:rPr>
          <w:rFonts w:ascii="Calibri"/>
          <w:color w:val="231F20"/>
          <w:position w:val="1"/>
          <w:sz w:val="22"/>
        </w:rPr>
        <w:t>The accounts are prepared in accordance with the historical cost</w:t>
      </w:r>
      <w:r>
        <w:rPr>
          <w:rFonts w:ascii="Calibri"/>
          <w:color w:val="231F20"/>
          <w:spacing w:val="0"/>
          <w:position w:val="1"/>
          <w:sz w:val="22"/>
        </w:rPr>
        <w:t> </w:t>
      </w:r>
      <w:r>
        <w:rPr>
          <w:rFonts w:ascii="Calibri"/>
          <w:color w:val="231F20"/>
          <w:position w:val="1"/>
          <w:sz w:val="22"/>
        </w:rPr>
        <w:t>convention.</w:t>
      </w:r>
    </w:p>
    <w:p>
      <w:pPr>
        <w:pStyle w:val="BodyText"/>
        <w:spacing w:before="4"/>
        <w:rPr>
          <w:rFonts w:ascii="Calibri"/>
          <w:sz w:val="18"/>
        </w:rPr>
      </w:pPr>
    </w:p>
    <w:p>
      <w:pPr>
        <w:pStyle w:val="ListParagraph"/>
        <w:numPr>
          <w:ilvl w:val="0"/>
          <w:numId w:val="8"/>
        </w:numPr>
        <w:tabs>
          <w:tab w:pos="1979" w:val="left" w:leader="none"/>
        </w:tabs>
        <w:spacing w:line="208" w:lineRule="auto" w:before="0" w:after="0"/>
        <w:ind w:left="1978" w:right="1963" w:hanging="363"/>
        <w:jc w:val="left"/>
        <w:rPr>
          <w:rFonts w:ascii="Calibri"/>
          <w:sz w:val="22"/>
        </w:rPr>
      </w:pPr>
      <w:r>
        <w:rPr>
          <w:rFonts w:ascii="Calibri"/>
          <w:color w:val="231F20"/>
          <w:position w:val="1"/>
          <w:sz w:val="22"/>
        </w:rPr>
        <w:t>The provision for long service leave is calculated at current rates of pay for all staff</w:t>
      </w:r>
      <w:r>
        <w:rPr>
          <w:rFonts w:ascii="Calibri"/>
          <w:color w:val="231F20"/>
          <w:sz w:val="22"/>
        </w:rPr>
        <w:t> from their date of commencement. Long service leave entitlement is due after 7 years service for the first and subsequent</w:t>
      </w:r>
      <w:r>
        <w:rPr>
          <w:rFonts w:ascii="Calibri"/>
          <w:color w:val="231F20"/>
          <w:spacing w:val="-1"/>
          <w:sz w:val="22"/>
        </w:rPr>
        <w:t> </w:t>
      </w:r>
      <w:r>
        <w:rPr>
          <w:rFonts w:ascii="Calibri"/>
          <w:color w:val="231F20"/>
          <w:sz w:val="22"/>
        </w:rPr>
        <w:t>terms.</w:t>
      </w:r>
    </w:p>
    <w:p>
      <w:pPr>
        <w:pStyle w:val="BodyText"/>
        <w:spacing w:before="6"/>
        <w:rPr>
          <w:rFonts w:ascii="Calibri"/>
          <w:sz w:val="19"/>
        </w:rPr>
      </w:pPr>
    </w:p>
    <w:p>
      <w:pPr>
        <w:spacing w:line="211" w:lineRule="auto" w:before="0"/>
        <w:ind w:left="1978" w:right="1215" w:firstLine="0"/>
        <w:jc w:val="left"/>
        <w:rPr>
          <w:rFonts w:ascii="Calibri" w:hAnsi="Calibri"/>
          <w:sz w:val="22"/>
        </w:rPr>
      </w:pPr>
      <w:r>
        <w:rPr>
          <w:rFonts w:ascii="Calibri" w:hAnsi="Calibri"/>
          <w:color w:val="231F20"/>
          <w:sz w:val="22"/>
        </w:rPr>
        <w:t>The Association’s Performance Agreement with the Disability Services Commission now requires it to make provision for Long Service Leave as per its employee entitlement policy.</w:t>
      </w:r>
    </w:p>
    <w:p>
      <w:pPr>
        <w:pStyle w:val="BodyText"/>
        <w:spacing w:before="10"/>
        <w:rPr>
          <w:rFonts w:ascii="Calibri"/>
          <w:sz w:val="19"/>
        </w:rPr>
      </w:pPr>
    </w:p>
    <w:p>
      <w:pPr>
        <w:pStyle w:val="ListParagraph"/>
        <w:numPr>
          <w:ilvl w:val="0"/>
          <w:numId w:val="8"/>
        </w:numPr>
        <w:tabs>
          <w:tab w:pos="1979" w:val="left" w:leader="none"/>
        </w:tabs>
        <w:spacing w:line="208" w:lineRule="auto" w:before="0" w:after="0"/>
        <w:ind w:left="1978" w:right="1936" w:hanging="353"/>
        <w:jc w:val="left"/>
        <w:rPr>
          <w:rFonts w:ascii="Calibri"/>
          <w:sz w:val="22"/>
        </w:rPr>
      </w:pPr>
      <w:r>
        <w:rPr>
          <w:rFonts w:ascii="Calibri"/>
          <w:color w:val="231F20"/>
          <w:position w:val="1"/>
          <w:sz w:val="22"/>
        </w:rPr>
        <w:t>Holiday pay is accrued based upon holiday entitlement and pro-rata at current rates of</w:t>
      </w:r>
      <w:r>
        <w:rPr>
          <w:rFonts w:ascii="Calibri"/>
          <w:color w:val="231F20"/>
          <w:sz w:val="22"/>
        </w:rPr>
        <w:t> pay plus 17.5% loadings, Superannuation and Workers Compensation liabilities for applicable staff.</w:t>
      </w:r>
    </w:p>
    <w:p>
      <w:pPr>
        <w:pStyle w:val="BodyText"/>
        <w:spacing w:before="5"/>
        <w:rPr>
          <w:rFonts w:ascii="Calibri"/>
          <w:sz w:val="17"/>
        </w:rPr>
      </w:pPr>
    </w:p>
    <w:p>
      <w:pPr>
        <w:pStyle w:val="ListParagraph"/>
        <w:numPr>
          <w:ilvl w:val="0"/>
          <w:numId w:val="8"/>
        </w:numPr>
        <w:tabs>
          <w:tab w:pos="1979" w:val="left" w:leader="none"/>
        </w:tabs>
        <w:spacing w:line="240" w:lineRule="auto" w:before="0" w:after="0"/>
        <w:ind w:left="1978" w:right="0" w:hanging="363"/>
        <w:jc w:val="left"/>
        <w:rPr>
          <w:rFonts w:ascii="Calibri"/>
          <w:sz w:val="22"/>
        </w:rPr>
      </w:pPr>
      <w:r>
        <w:rPr>
          <w:rFonts w:ascii="Calibri"/>
          <w:color w:val="231F20"/>
          <w:position w:val="1"/>
          <w:sz w:val="22"/>
        </w:rPr>
        <w:t>Provision for Sick Leave has been accrued on the basis of 50% of the</w:t>
      </w:r>
      <w:r>
        <w:rPr>
          <w:rFonts w:ascii="Calibri"/>
          <w:color w:val="231F20"/>
          <w:spacing w:val="2"/>
          <w:position w:val="1"/>
          <w:sz w:val="22"/>
        </w:rPr>
        <w:t> </w:t>
      </w:r>
      <w:r>
        <w:rPr>
          <w:rFonts w:ascii="Calibri"/>
          <w:color w:val="231F20"/>
          <w:position w:val="1"/>
          <w:sz w:val="22"/>
        </w:rPr>
        <w:t>outstanding</w:t>
      </w:r>
    </w:p>
    <w:p>
      <w:pPr>
        <w:spacing w:after="0" w:line="240" w:lineRule="auto"/>
        <w:jc w:val="left"/>
        <w:rPr>
          <w:rFonts w:ascii="Calibri"/>
          <w:sz w:val="22"/>
        </w:rPr>
        <w:sectPr>
          <w:pgSz w:w="11910" w:h="16840"/>
          <w:pgMar w:header="0" w:footer="524" w:top="960" w:bottom="720" w:left="0" w:right="220"/>
        </w:sectPr>
      </w:pPr>
    </w:p>
    <w:p>
      <w:pPr>
        <w:tabs>
          <w:tab w:pos="3350" w:val="left" w:leader="none"/>
        </w:tabs>
        <w:spacing w:line="204" w:lineRule="auto" w:before="1"/>
        <w:ind w:left="1978" w:right="0" w:firstLine="0"/>
        <w:jc w:val="left"/>
        <w:rPr>
          <w:rFonts w:ascii="Calibri"/>
          <w:sz w:val="22"/>
        </w:rPr>
      </w:pPr>
      <w:r>
        <w:rPr>
          <w:rFonts w:ascii="Calibri"/>
          <w:color w:val="231F20"/>
          <w:sz w:val="22"/>
        </w:rPr>
        <w:t>balance</w:t>
      </w:r>
      <w:r>
        <w:rPr>
          <w:rFonts w:ascii="Calibri"/>
          <w:color w:val="231F20"/>
          <w:spacing w:val="0"/>
          <w:sz w:val="22"/>
        </w:rPr>
        <w:t> </w:t>
      </w:r>
      <w:r>
        <w:rPr>
          <w:rFonts w:ascii="Calibri"/>
          <w:color w:val="231F20"/>
          <w:sz w:val="22"/>
        </w:rPr>
        <w:t>as at</w:t>
        <w:tab/>
        <w:t>30 June 2015 for applicable</w:t>
      </w:r>
      <w:r>
        <w:rPr>
          <w:rFonts w:ascii="Calibri"/>
          <w:color w:val="231F20"/>
          <w:spacing w:val="-1"/>
          <w:sz w:val="22"/>
        </w:rPr>
        <w:t> </w:t>
      </w:r>
      <w:r>
        <w:rPr>
          <w:rFonts w:ascii="Calibri"/>
          <w:color w:val="231F20"/>
          <w:sz w:val="22"/>
        </w:rPr>
        <w:t>staff.</w:t>
      </w:r>
    </w:p>
    <w:p>
      <w:pPr>
        <w:spacing w:line="228" w:lineRule="exact" w:before="0"/>
        <w:ind w:left="62" w:right="0" w:firstLine="0"/>
        <w:jc w:val="left"/>
        <w:rPr>
          <w:rFonts w:ascii="Calibri"/>
          <w:sz w:val="22"/>
        </w:rPr>
      </w:pPr>
      <w:r>
        <w:rPr/>
        <w:br w:type="column"/>
      </w:r>
      <w:r>
        <w:rPr>
          <w:rFonts w:ascii="Calibri"/>
          <w:color w:val="231F20"/>
          <w:sz w:val="22"/>
        </w:rPr>
        <w:t>, plus superannuation and workers compensation liabilities</w:t>
      </w:r>
    </w:p>
    <w:p>
      <w:pPr>
        <w:spacing w:after="0" w:line="228" w:lineRule="exact"/>
        <w:jc w:val="left"/>
        <w:rPr>
          <w:rFonts w:ascii="Calibri"/>
          <w:sz w:val="22"/>
        </w:rPr>
        <w:sectPr>
          <w:type w:val="continuous"/>
          <w:pgSz w:w="11910" w:h="16840"/>
          <w:pgMar w:top="0" w:bottom="0" w:left="0" w:right="220"/>
          <w:cols w:num="2" w:equalWidth="0">
            <w:col w:w="4538" w:space="40"/>
            <w:col w:w="7112"/>
          </w:cols>
        </w:sectPr>
      </w:pPr>
    </w:p>
    <w:p>
      <w:pPr>
        <w:pStyle w:val="BodyText"/>
        <w:rPr>
          <w:rFonts w:ascii="Calibri"/>
          <w:sz w:val="13"/>
        </w:rPr>
      </w:pPr>
    </w:p>
    <w:p>
      <w:pPr>
        <w:pStyle w:val="ListParagraph"/>
        <w:numPr>
          <w:ilvl w:val="0"/>
          <w:numId w:val="8"/>
        </w:numPr>
        <w:tabs>
          <w:tab w:pos="1979" w:val="left" w:leader="none"/>
        </w:tabs>
        <w:spacing w:line="204" w:lineRule="auto" w:before="87" w:after="0"/>
        <w:ind w:left="1978" w:right="2023" w:hanging="360"/>
        <w:jc w:val="left"/>
        <w:rPr>
          <w:rFonts w:ascii="Calibri"/>
          <w:sz w:val="22"/>
        </w:rPr>
      </w:pPr>
      <w:r>
        <w:rPr>
          <w:rFonts w:ascii="Calibri"/>
          <w:color w:val="231F20"/>
          <w:position w:val="1"/>
          <w:sz w:val="22"/>
        </w:rPr>
        <w:t>Depreciation is calculated on a straight line basis so as to write of the net cost of each</w:t>
      </w:r>
      <w:r>
        <w:rPr>
          <w:rFonts w:ascii="Calibri"/>
          <w:color w:val="231F20"/>
          <w:sz w:val="22"/>
        </w:rPr>
        <w:t> fixed asset during its expected life. The depreciation rates used are:</w:t>
      </w:r>
    </w:p>
    <w:p>
      <w:pPr>
        <w:pStyle w:val="BodyText"/>
        <w:spacing w:before="3"/>
        <w:rPr>
          <w:rFonts w:ascii="Calibri"/>
          <w:sz w:val="21"/>
        </w:rPr>
      </w:pPr>
    </w:p>
    <w:tbl>
      <w:tblPr>
        <w:tblW w:w="0" w:type="auto"/>
        <w:jc w:val="left"/>
        <w:tblInd w:w="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3"/>
        <w:gridCol w:w="1381"/>
      </w:tblGrid>
      <w:tr>
        <w:trPr>
          <w:trHeight w:val="233" w:hRule="atLeast"/>
        </w:trPr>
        <w:tc>
          <w:tcPr>
            <w:tcW w:w="2873" w:type="dxa"/>
          </w:tcPr>
          <w:p>
            <w:pPr>
              <w:pStyle w:val="TableParagraph"/>
              <w:spacing w:line="214" w:lineRule="exact"/>
              <w:ind w:left="50"/>
              <w:rPr>
                <w:sz w:val="22"/>
              </w:rPr>
            </w:pPr>
            <w:r>
              <w:rPr>
                <w:color w:val="231F20"/>
                <w:sz w:val="22"/>
              </w:rPr>
              <w:t>Plant and Equipment</w:t>
            </w:r>
          </w:p>
        </w:tc>
        <w:tc>
          <w:tcPr>
            <w:tcW w:w="1381" w:type="dxa"/>
          </w:tcPr>
          <w:p>
            <w:pPr>
              <w:pStyle w:val="TableParagraph"/>
              <w:spacing w:line="214" w:lineRule="exact"/>
              <w:ind w:right="48"/>
              <w:jc w:val="right"/>
              <w:rPr>
                <w:sz w:val="22"/>
              </w:rPr>
            </w:pPr>
            <w:r>
              <w:rPr>
                <w:color w:val="231F20"/>
                <w:sz w:val="22"/>
              </w:rPr>
              <w:t>20%</w:t>
            </w:r>
          </w:p>
        </w:tc>
      </w:tr>
      <w:tr>
        <w:trPr>
          <w:trHeight w:val="237" w:hRule="atLeast"/>
        </w:trPr>
        <w:tc>
          <w:tcPr>
            <w:tcW w:w="2873" w:type="dxa"/>
          </w:tcPr>
          <w:p>
            <w:pPr>
              <w:pStyle w:val="TableParagraph"/>
              <w:spacing w:line="218" w:lineRule="exact"/>
              <w:ind w:left="50"/>
              <w:rPr>
                <w:sz w:val="22"/>
              </w:rPr>
            </w:pPr>
            <w:r>
              <w:rPr>
                <w:color w:val="231F20"/>
                <w:sz w:val="22"/>
              </w:rPr>
              <w:t>Furniture &amp; Fittings</w:t>
            </w:r>
          </w:p>
        </w:tc>
        <w:tc>
          <w:tcPr>
            <w:tcW w:w="1381" w:type="dxa"/>
          </w:tcPr>
          <w:p>
            <w:pPr>
              <w:pStyle w:val="TableParagraph"/>
              <w:spacing w:line="218" w:lineRule="exact"/>
              <w:ind w:right="48"/>
              <w:jc w:val="right"/>
              <w:rPr>
                <w:sz w:val="22"/>
              </w:rPr>
            </w:pPr>
            <w:r>
              <w:rPr>
                <w:color w:val="231F20"/>
                <w:sz w:val="22"/>
              </w:rPr>
              <w:t>20%</w:t>
            </w:r>
          </w:p>
        </w:tc>
      </w:tr>
      <w:tr>
        <w:trPr>
          <w:trHeight w:val="237" w:hRule="atLeast"/>
        </w:trPr>
        <w:tc>
          <w:tcPr>
            <w:tcW w:w="2873" w:type="dxa"/>
          </w:tcPr>
          <w:p>
            <w:pPr>
              <w:pStyle w:val="TableParagraph"/>
              <w:spacing w:line="218" w:lineRule="exact"/>
              <w:ind w:left="50"/>
              <w:rPr>
                <w:sz w:val="22"/>
              </w:rPr>
            </w:pPr>
            <w:r>
              <w:rPr>
                <w:color w:val="231F20"/>
                <w:sz w:val="22"/>
              </w:rPr>
              <w:t>Motor Vehicles</w:t>
            </w:r>
          </w:p>
        </w:tc>
        <w:tc>
          <w:tcPr>
            <w:tcW w:w="1381" w:type="dxa"/>
          </w:tcPr>
          <w:p>
            <w:pPr>
              <w:pStyle w:val="TableParagraph"/>
              <w:spacing w:line="218" w:lineRule="exact"/>
              <w:ind w:right="48"/>
              <w:jc w:val="right"/>
              <w:rPr>
                <w:sz w:val="22"/>
              </w:rPr>
            </w:pPr>
            <w:r>
              <w:rPr>
                <w:color w:val="231F20"/>
                <w:sz w:val="22"/>
              </w:rPr>
              <w:t>20%</w:t>
            </w:r>
          </w:p>
        </w:tc>
      </w:tr>
      <w:tr>
        <w:trPr>
          <w:trHeight w:val="233" w:hRule="atLeast"/>
        </w:trPr>
        <w:tc>
          <w:tcPr>
            <w:tcW w:w="2873" w:type="dxa"/>
          </w:tcPr>
          <w:p>
            <w:pPr>
              <w:pStyle w:val="TableParagraph"/>
              <w:spacing w:line="214" w:lineRule="exact"/>
              <w:ind w:left="50"/>
              <w:rPr>
                <w:sz w:val="22"/>
              </w:rPr>
            </w:pPr>
            <w:r>
              <w:rPr>
                <w:color w:val="231F20"/>
                <w:sz w:val="22"/>
              </w:rPr>
              <w:t>Computers</w:t>
            </w:r>
          </w:p>
        </w:tc>
        <w:tc>
          <w:tcPr>
            <w:tcW w:w="1381" w:type="dxa"/>
          </w:tcPr>
          <w:p>
            <w:pPr>
              <w:pStyle w:val="TableParagraph"/>
              <w:spacing w:line="214" w:lineRule="exact"/>
              <w:ind w:right="48"/>
              <w:jc w:val="right"/>
              <w:rPr>
                <w:sz w:val="22"/>
              </w:rPr>
            </w:pPr>
            <w:r>
              <w:rPr>
                <w:color w:val="231F20"/>
                <w:sz w:val="22"/>
              </w:rPr>
              <w:t>33%</w:t>
            </w:r>
          </w:p>
        </w:tc>
      </w:tr>
    </w:tbl>
    <w:p>
      <w:pPr>
        <w:pStyle w:val="BodyText"/>
        <w:rPr>
          <w:rFonts w:ascii="Calibri"/>
          <w:sz w:val="22"/>
        </w:rPr>
      </w:pPr>
    </w:p>
    <w:p>
      <w:pPr>
        <w:spacing w:line="253" w:lineRule="exact" w:before="170"/>
        <w:ind w:left="1978" w:right="0" w:firstLine="0"/>
        <w:jc w:val="left"/>
        <w:rPr>
          <w:rFonts w:ascii="Calibri"/>
          <w:sz w:val="22"/>
        </w:rPr>
      </w:pPr>
      <w:r>
        <w:rPr>
          <w:rFonts w:ascii="Calibri"/>
          <w:color w:val="231F20"/>
          <w:sz w:val="22"/>
        </w:rPr>
        <w:t>Since June 2000 it has been the policy of the Association to not capitalise items less than</w:t>
      </w:r>
    </w:p>
    <w:p>
      <w:pPr>
        <w:spacing w:line="211" w:lineRule="auto" w:before="10"/>
        <w:ind w:left="1978" w:right="1614" w:firstLine="0"/>
        <w:jc w:val="left"/>
        <w:rPr>
          <w:rFonts w:ascii="Calibri"/>
          <w:sz w:val="22"/>
        </w:rPr>
      </w:pPr>
      <w:r>
        <w:rPr>
          <w:rFonts w:ascii="Calibri"/>
          <w:color w:val="231F20"/>
          <w:sz w:val="22"/>
        </w:rPr>
        <w:t>$5,000 in value. These amounts are written off wholly in the year of purchase. The Association is not funded for capital replacement within it's current grant structure and does not have the capacity to put aside cash reserves to cover these expenses.</w:t>
      </w:r>
    </w:p>
    <w:p>
      <w:pPr>
        <w:spacing w:line="211" w:lineRule="auto" w:before="4"/>
        <w:ind w:left="1978" w:right="1215" w:firstLine="0"/>
        <w:jc w:val="left"/>
        <w:rPr>
          <w:rFonts w:ascii="Calibri"/>
          <w:sz w:val="22"/>
        </w:rPr>
      </w:pPr>
      <w:r>
        <w:rPr>
          <w:rFonts w:ascii="Calibri"/>
          <w:color w:val="231F20"/>
          <w:sz w:val="22"/>
        </w:rPr>
        <w:t>Component parts will be grouped together to determine the value to be used in determining the $5,000 limit.</w:t>
      </w:r>
    </w:p>
    <w:p>
      <w:pPr>
        <w:spacing w:after="0" w:line="211" w:lineRule="auto"/>
        <w:jc w:val="left"/>
        <w:rPr>
          <w:rFonts w:ascii="Calibri"/>
          <w:sz w:val="22"/>
        </w:rPr>
        <w:sectPr>
          <w:type w:val="continuous"/>
          <w:pgSz w:w="11910" w:h="16840"/>
          <w:pgMar w:top="0" w:bottom="0" w:left="0" w:right="220"/>
        </w:sectPr>
      </w:pPr>
    </w:p>
    <w:p>
      <w:pPr>
        <w:spacing w:before="103"/>
        <w:ind w:left="1916" w:right="1700" w:firstLine="0"/>
        <w:jc w:val="center"/>
        <w:rPr>
          <w:rFonts w:ascii="Calibri"/>
          <w:b/>
          <w:sz w:val="16"/>
        </w:rPr>
      </w:pPr>
      <w:r>
        <w:rPr/>
        <w:pict>
          <v:line style="position:absolute;mso-position-horizontal-relative:page;mso-position-vertical-relative:page;z-index:-83200" from="360.190002pt,235.48999pt" to="412.390002pt,235.48999pt" stroked="true" strokeweight=".72pt" strokecolor="#231f20">
            <v:stroke dashstyle="solid"/>
            <w10:wrap type="none"/>
          </v:line>
        </w:pict>
      </w:r>
      <w:r>
        <w:rPr/>
        <w:pict>
          <v:line style="position:absolute;mso-position-horizontal-relative:page;mso-position-vertical-relative:page;z-index:-83176" from="360.190002pt,286.849976pt" to="412.390002pt,286.849976pt" stroked="true" strokeweight=".72pt" strokecolor="#231f20">
            <v:stroke dashstyle="solid"/>
            <w10:wrap type="none"/>
          </v:line>
        </w:pict>
      </w:r>
      <w:r>
        <w:rPr/>
        <w:pict>
          <v:line style="position:absolute;mso-position-horizontal-relative:page;mso-position-vertical-relative:page;z-index:-83152" from="360.190002pt,358.369995pt" to="412.390002pt,358.369995pt" stroked="true" strokeweight=".72pt" strokecolor="#231f20">
            <v:stroke dashstyle="solid"/>
            <w10:wrap type="none"/>
          </v:line>
        </w:pict>
      </w:r>
      <w:r>
        <w:rPr/>
        <w:pict>
          <v:line style="position:absolute;mso-position-horizontal-relative:page;mso-position-vertical-relative:page;z-index:-83128" from="360.190002pt,419.829987pt" to="412.390002pt,419.829987pt" stroked="true" strokeweight=".72pt" strokecolor="#231f20">
            <v:stroke dashstyle="solid"/>
            <w10:wrap type="none"/>
          </v:line>
        </w:pict>
      </w:r>
      <w:r>
        <w:rPr/>
        <w:pict>
          <v:line style="position:absolute;mso-position-horizontal-relative:page;mso-position-vertical-relative:page;z-index:-83104" from="360.190002pt,461.109985pt" to="412.390002pt,461.109985pt" stroked="true" strokeweight=".72pt" strokecolor="#231f20">
            <v:stroke dashstyle="solid"/>
            <w10:wrap type="none"/>
          </v:line>
        </w:pict>
      </w:r>
      <w:r>
        <w:rPr>
          <w:rFonts w:ascii="Calibri"/>
          <w:b/>
          <w:color w:val="231F20"/>
          <w:w w:val="105"/>
          <w:sz w:val="16"/>
          <w:u w:val="single" w:color="231F20"/>
        </w:rPr>
        <w:t>PEOPLE WITH DISABILITIES (WA) Inc</w:t>
      </w:r>
    </w:p>
    <w:p>
      <w:pPr>
        <w:pStyle w:val="BodyText"/>
        <w:spacing w:before="2"/>
        <w:rPr>
          <w:rFonts w:ascii="Calibri"/>
          <w:b/>
          <w:sz w:val="11"/>
        </w:rPr>
      </w:pPr>
    </w:p>
    <w:p>
      <w:pPr>
        <w:spacing w:before="72"/>
        <w:ind w:left="217" w:right="0" w:firstLine="0"/>
        <w:jc w:val="center"/>
        <w:rPr>
          <w:rFonts w:ascii="Calibri"/>
          <w:b/>
          <w:sz w:val="16"/>
        </w:rPr>
      </w:pPr>
      <w:r>
        <w:rPr>
          <w:rFonts w:ascii="Calibri"/>
          <w:b/>
          <w:color w:val="231F20"/>
          <w:w w:val="105"/>
          <w:sz w:val="16"/>
          <w:u w:val="single" w:color="231F20"/>
        </w:rPr>
        <w:t>NOTES TO AND FORMING PART OF THE ACCOUNTS</w:t>
      </w:r>
    </w:p>
    <w:p>
      <w:pPr>
        <w:spacing w:before="6"/>
        <w:ind w:left="1916" w:right="1699" w:firstLine="0"/>
        <w:jc w:val="center"/>
        <w:rPr>
          <w:rFonts w:ascii="Calibri"/>
          <w:b/>
          <w:sz w:val="16"/>
        </w:rPr>
      </w:pPr>
      <w:r>
        <w:rPr>
          <w:rFonts w:ascii="Calibri"/>
          <w:b/>
          <w:color w:val="231F20"/>
          <w:w w:val="105"/>
          <w:sz w:val="16"/>
          <w:u w:val="single" w:color="231F20"/>
        </w:rPr>
        <w:t>For the year ended 30/06/2015</w:t>
      </w:r>
    </w:p>
    <w:p>
      <w:pPr>
        <w:pStyle w:val="BodyText"/>
        <w:rPr>
          <w:rFonts w:ascii="Calibri"/>
          <w:b/>
          <w:sz w:val="20"/>
        </w:rPr>
      </w:pPr>
    </w:p>
    <w:p>
      <w:pPr>
        <w:pStyle w:val="BodyText"/>
        <w:spacing w:before="8"/>
        <w:rPr>
          <w:rFonts w:ascii="Calibri"/>
          <w:b/>
          <w:sz w:val="16"/>
        </w:rPr>
      </w:pPr>
    </w:p>
    <w:tbl>
      <w:tblPr>
        <w:tblW w:w="0" w:type="auto"/>
        <w:jc w:val="left"/>
        <w:tblInd w:w="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
        <w:gridCol w:w="3162"/>
        <w:gridCol w:w="1051"/>
        <w:gridCol w:w="815"/>
        <w:gridCol w:w="1043"/>
      </w:tblGrid>
      <w:tr>
        <w:trPr>
          <w:trHeight w:val="385" w:hRule="atLeast"/>
        </w:trPr>
        <w:tc>
          <w:tcPr>
            <w:tcW w:w="3381" w:type="dxa"/>
            <w:gridSpan w:val="2"/>
          </w:tcPr>
          <w:p>
            <w:pPr>
              <w:pStyle w:val="TableParagraph"/>
              <w:rPr>
                <w:rFonts w:ascii="Times New Roman"/>
                <w:sz w:val="16"/>
              </w:rPr>
            </w:pPr>
          </w:p>
        </w:tc>
        <w:tc>
          <w:tcPr>
            <w:tcW w:w="1051" w:type="dxa"/>
          </w:tcPr>
          <w:p>
            <w:pPr>
              <w:pStyle w:val="TableParagraph"/>
              <w:spacing w:line="167" w:lineRule="exact"/>
              <w:ind w:left="236" w:right="220"/>
              <w:jc w:val="center"/>
              <w:rPr>
                <w:b/>
                <w:sz w:val="16"/>
              </w:rPr>
            </w:pPr>
            <w:r>
              <w:rPr>
                <w:b/>
                <w:color w:val="231F20"/>
                <w:w w:val="105"/>
                <w:sz w:val="16"/>
              </w:rPr>
              <w:t>2015</w:t>
            </w:r>
          </w:p>
          <w:p>
            <w:pPr>
              <w:pStyle w:val="TableParagraph"/>
              <w:spacing w:line="192" w:lineRule="exact" w:before="6"/>
              <w:ind w:left="18"/>
              <w:jc w:val="center"/>
              <w:rPr>
                <w:sz w:val="16"/>
              </w:rPr>
            </w:pPr>
            <w:r>
              <w:rPr>
                <w:color w:val="231F20"/>
                <w:w w:val="103"/>
                <w:sz w:val="16"/>
              </w:rPr>
              <w:t>$</w:t>
            </w:r>
          </w:p>
        </w:tc>
        <w:tc>
          <w:tcPr>
            <w:tcW w:w="815" w:type="dxa"/>
          </w:tcPr>
          <w:p>
            <w:pPr>
              <w:pStyle w:val="TableParagraph"/>
              <w:rPr>
                <w:rFonts w:ascii="Times New Roman"/>
                <w:sz w:val="16"/>
              </w:rPr>
            </w:pPr>
          </w:p>
        </w:tc>
        <w:tc>
          <w:tcPr>
            <w:tcW w:w="1043" w:type="dxa"/>
          </w:tcPr>
          <w:p>
            <w:pPr>
              <w:pStyle w:val="TableParagraph"/>
              <w:spacing w:line="167" w:lineRule="exact"/>
              <w:ind w:left="235" w:right="213"/>
              <w:jc w:val="center"/>
              <w:rPr>
                <w:b/>
                <w:sz w:val="16"/>
              </w:rPr>
            </w:pPr>
            <w:r>
              <w:rPr>
                <w:b/>
                <w:color w:val="231F20"/>
                <w:w w:val="105"/>
                <w:sz w:val="16"/>
              </w:rPr>
              <w:t>2014</w:t>
            </w:r>
          </w:p>
          <w:p>
            <w:pPr>
              <w:pStyle w:val="TableParagraph"/>
              <w:spacing w:line="192" w:lineRule="exact" w:before="6"/>
              <w:ind w:left="20"/>
              <w:jc w:val="center"/>
              <w:rPr>
                <w:sz w:val="16"/>
              </w:rPr>
            </w:pPr>
            <w:r>
              <w:rPr>
                <w:color w:val="231F20"/>
                <w:w w:val="103"/>
                <w:sz w:val="16"/>
              </w:rPr>
              <w:t>$</w:t>
            </w:r>
          </w:p>
        </w:tc>
      </w:tr>
      <w:tr>
        <w:trPr>
          <w:trHeight w:val="403" w:hRule="atLeast"/>
        </w:trPr>
        <w:tc>
          <w:tcPr>
            <w:tcW w:w="219" w:type="dxa"/>
          </w:tcPr>
          <w:p>
            <w:pPr>
              <w:pStyle w:val="TableParagraph"/>
              <w:spacing w:line="185" w:lineRule="exact"/>
              <w:ind w:right="33"/>
              <w:jc w:val="center"/>
              <w:rPr>
                <w:b/>
                <w:sz w:val="16"/>
              </w:rPr>
            </w:pPr>
            <w:r>
              <w:rPr>
                <w:b/>
                <w:color w:val="231F20"/>
                <w:w w:val="103"/>
                <w:sz w:val="16"/>
              </w:rPr>
              <w:t>2</w:t>
            </w:r>
          </w:p>
        </w:tc>
        <w:tc>
          <w:tcPr>
            <w:tcW w:w="3162" w:type="dxa"/>
          </w:tcPr>
          <w:p>
            <w:pPr>
              <w:pStyle w:val="TableParagraph"/>
              <w:spacing w:line="185" w:lineRule="exact"/>
              <w:ind w:left="85"/>
              <w:rPr>
                <w:b/>
                <w:sz w:val="16"/>
              </w:rPr>
            </w:pPr>
            <w:r>
              <w:rPr>
                <w:b/>
                <w:color w:val="231F20"/>
                <w:w w:val="105"/>
                <w:sz w:val="16"/>
              </w:rPr>
              <w:t>Cash at bank and on hand</w:t>
            </w:r>
          </w:p>
          <w:p>
            <w:pPr>
              <w:pStyle w:val="TableParagraph"/>
              <w:spacing w:line="192" w:lineRule="exact" w:before="6"/>
              <w:ind w:left="85"/>
              <w:rPr>
                <w:sz w:val="16"/>
              </w:rPr>
            </w:pPr>
            <w:r>
              <w:rPr>
                <w:color w:val="231F20"/>
                <w:w w:val="105"/>
                <w:sz w:val="16"/>
              </w:rPr>
              <w:t>Cash on hand</w:t>
            </w:r>
          </w:p>
        </w:tc>
        <w:tc>
          <w:tcPr>
            <w:tcW w:w="1051" w:type="dxa"/>
          </w:tcPr>
          <w:p>
            <w:pPr>
              <w:pStyle w:val="TableParagraph"/>
              <w:spacing w:before="8"/>
              <w:rPr>
                <w:b/>
                <w:sz w:val="15"/>
              </w:rPr>
            </w:pPr>
          </w:p>
          <w:p>
            <w:pPr>
              <w:pStyle w:val="TableParagraph"/>
              <w:spacing w:line="192" w:lineRule="exact"/>
              <w:ind w:left="238" w:right="220"/>
              <w:jc w:val="center"/>
              <w:rPr>
                <w:sz w:val="16"/>
              </w:rPr>
            </w:pPr>
            <w:r>
              <w:rPr>
                <w:color w:val="231F20"/>
                <w:w w:val="105"/>
                <w:sz w:val="16"/>
              </w:rPr>
              <w:t>627</w:t>
            </w:r>
          </w:p>
        </w:tc>
        <w:tc>
          <w:tcPr>
            <w:tcW w:w="815" w:type="dxa"/>
          </w:tcPr>
          <w:p>
            <w:pPr>
              <w:pStyle w:val="TableParagraph"/>
              <w:rPr>
                <w:rFonts w:ascii="Times New Roman"/>
                <w:sz w:val="16"/>
              </w:rPr>
            </w:pPr>
          </w:p>
        </w:tc>
        <w:tc>
          <w:tcPr>
            <w:tcW w:w="1043" w:type="dxa"/>
          </w:tcPr>
          <w:p>
            <w:pPr>
              <w:pStyle w:val="TableParagraph"/>
              <w:spacing w:before="8"/>
              <w:rPr>
                <w:b/>
                <w:sz w:val="15"/>
              </w:rPr>
            </w:pPr>
          </w:p>
          <w:p>
            <w:pPr>
              <w:pStyle w:val="TableParagraph"/>
              <w:spacing w:line="192" w:lineRule="exact"/>
              <w:ind w:left="235" w:right="215"/>
              <w:jc w:val="center"/>
              <w:rPr>
                <w:sz w:val="16"/>
              </w:rPr>
            </w:pPr>
            <w:r>
              <w:rPr>
                <w:color w:val="231F20"/>
                <w:w w:val="105"/>
                <w:sz w:val="16"/>
              </w:rPr>
              <w:t>297</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Cash at bank - Bankwest General Account</w:t>
            </w:r>
          </w:p>
        </w:tc>
        <w:tc>
          <w:tcPr>
            <w:tcW w:w="1051" w:type="dxa"/>
          </w:tcPr>
          <w:p>
            <w:pPr>
              <w:pStyle w:val="TableParagraph"/>
              <w:spacing w:line="182" w:lineRule="exact"/>
              <w:ind w:left="238" w:right="220"/>
              <w:jc w:val="center"/>
              <w:rPr>
                <w:sz w:val="16"/>
              </w:rPr>
            </w:pPr>
            <w:r>
              <w:rPr>
                <w:color w:val="231F20"/>
                <w:w w:val="105"/>
                <w:sz w:val="16"/>
              </w:rPr>
              <w:t>5,948</w:t>
            </w:r>
          </w:p>
        </w:tc>
        <w:tc>
          <w:tcPr>
            <w:tcW w:w="815" w:type="dxa"/>
          </w:tcPr>
          <w:p>
            <w:pPr>
              <w:pStyle w:val="TableParagraph"/>
              <w:rPr>
                <w:rFonts w:ascii="Times New Roman"/>
                <w:sz w:val="14"/>
              </w:rPr>
            </w:pPr>
          </w:p>
        </w:tc>
        <w:tc>
          <w:tcPr>
            <w:tcW w:w="1043" w:type="dxa"/>
          </w:tcPr>
          <w:p>
            <w:pPr>
              <w:pStyle w:val="TableParagraph"/>
              <w:spacing w:line="182" w:lineRule="exact"/>
              <w:ind w:left="235" w:right="215"/>
              <w:jc w:val="center"/>
              <w:rPr>
                <w:sz w:val="16"/>
              </w:rPr>
            </w:pPr>
            <w:r>
              <w:rPr>
                <w:color w:val="231F20"/>
                <w:w w:val="105"/>
                <w:sz w:val="16"/>
              </w:rPr>
              <w:t>1,251</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Gold Cash Management Account</w:t>
            </w:r>
          </w:p>
        </w:tc>
        <w:tc>
          <w:tcPr>
            <w:tcW w:w="1051" w:type="dxa"/>
          </w:tcPr>
          <w:p>
            <w:pPr>
              <w:pStyle w:val="TableParagraph"/>
              <w:spacing w:line="182" w:lineRule="exact"/>
              <w:ind w:left="238" w:right="220"/>
              <w:jc w:val="center"/>
              <w:rPr>
                <w:sz w:val="16"/>
              </w:rPr>
            </w:pPr>
            <w:r>
              <w:rPr>
                <w:color w:val="231F20"/>
                <w:w w:val="105"/>
                <w:sz w:val="16"/>
              </w:rPr>
              <w:t>269,039</w:t>
            </w:r>
          </w:p>
        </w:tc>
        <w:tc>
          <w:tcPr>
            <w:tcW w:w="815" w:type="dxa"/>
          </w:tcPr>
          <w:p>
            <w:pPr>
              <w:pStyle w:val="TableParagraph"/>
              <w:rPr>
                <w:rFonts w:ascii="Times New Roman"/>
                <w:sz w:val="14"/>
              </w:rPr>
            </w:pPr>
          </w:p>
        </w:tc>
        <w:tc>
          <w:tcPr>
            <w:tcW w:w="1043" w:type="dxa"/>
          </w:tcPr>
          <w:p>
            <w:pPr>
              <w:pStyle w:val="TableParagraph"/>
              <w:spacing w:line="182" w:lineRule="exact"/>
              <w:ind w:left="235" w:right="215"/>
              <w:jc w:val="center"/>
              <w:rPr>
                <w:sz w:val="16"/>
              </w:rPr>
            </w:pPr>
            <w:r>
              <w:rPr>
                <w:color w:val="231F20"/>
                <w:w w:val="105"/>
                <w:sz w:val="16"/>
              </w:rPr>
              <w:t>341,250</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Bankwest - Term Deposits</w:t>
            </w:r>
          </w:p>
        </w:tc>
        <w:tc>
          <w:tcPr>
            <w:tcW w:w="1051" w:type="dxa"/>
          </w:tcPr>
          <w:p>
            <w:pPr>
              <w:pStyle w:val="TableParagraph"/>
              <w:spacing w:line="182" w:lineRule="exact"/>
              <w:ind w:left="238" w:right="220"/>
              <w:jc w:val="center"/>
              <w:rPr>
                <w:sz w:val="16"/>
              </w:rPr>
            </w:pPr>
            <w:r>
              <w:rPr>
                <w:color w:val="231F20"/>
                <w:w w:val="105"/>
                <w:sz w:val="16"/>
              </w:rPr>
              <w:t>400,091</w:t>
            </w:r>
          </w:p>
        </w:tc>
        <w:tc>
          <w:tcPr>
            <w:tcW w:w="815" w:type="dxa"/>
          </w:tcPr>
          <w:p>
            <w:pPr>
              <w:pStyle w:val="TableParagraph"/>
              <w:rPr>
                <w:rFonts w:ascii="Times New Roman"/>
                <w:sz w:val="14"/>
              </w:rPr>
            </w:pPr>
          </w:p>
        </w:tc>
        <w:tc>
          <w:tcPr>
            <w:tcW w:w="1043" w:type="dxa"/>
          </w:tcPr>
          <w:p>
            <w:pPr>
              <w:pStyle w:val="TableParagraph"/>
              <w:spacing w:line="182" w:lineRule="exact"/>
              <w:ind w:left="235" w:right="215"/>
              <w:jc w:val="center"/>
              <w:rPr>
                <w:sz w:val="16"/>
              </w:rPr>
            </w:pPr>
            <w:r>
              <w:rPr>
                <w:color w:val="231F20"/>
                <w:w w:val="105"/>
                <w:sz w:val="16"/>
              </w:rPr>
              <w:t>137,091</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ANZ - Cheque</w:t>
            </w:r>
          </w:p>
        </w:tc>
        <w:tc>
          <w:tcPr>
            <w:tcW w:w="1051" w:type="dxa"/>
          </w:tcPr>
          <w:p>
            <w:pPr>
              <w:pStyle w:val="TableParagraph"/>
              <w:spacing w:line="182" w:lineRule="exact"/>
              <w:ind w:left="236" w:right="220"/>
              <w:jc w:val="center"/>
              <w:rPr>
                <w:sz w:val="16"/>
              </w:rPr>
            </w:pPr>
            <w:r>
              <w:rPr>
                <w:color w:val="231F20"/>
                <w:w w:val="105"/>
                <w:sz w:val="16"/>
              </w:rPr>
              <w:t>35,773</w:t>
            </w:r>
          </w:p>
        </w:tc>
        <w:tc>
          <w:tcPr>
            <w:tcW w:w="815" w:type="dxa"/>
          </w:tcPr>
          <w:p>
            <w:pPr>
              <w:pStyle w:val="TableParagraph"/>
              <w:rPr>
                <w:rFonts w:ascii="Times New Roman"/>
                <w:sz w:val="14"/>
              </w:rPr>
            </w:pPr>
          </w:p>
        </w:tc>
        <w:tc>
          <w:tcPr>
            <w:tcW w:w="1043" w:type="dxa"/>
          </w:tcPr>
          <w:p>
            <w:pPr>
              <w:pStyle w:val="TableParagraph"/>
              <w:spacing w:line="182" w:lineRule="exact"/>
              <w:ind w:left="235" w:right="213"/>
              <w:jc w:val="center"/>
              <w:rPr>
                <w:sz w:val="16"/>
              </w:rPr>
            </w:pPr>
            <w:r>
              <w:rPr>
                <w:color w:val="231F20"/>
                <w:w w:val="105"/>
                <w:sz w:val="16"/>
              </w:rPr>
              <w:t>13,885</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ANZ - Interest Bearing</w:t>
            </w:r>
          </w:p>
        </w:tc>
        <w:tc>
          <w:tcPr>
            <w:tcW w:w="1051" w:type="dxa"/>
          </w:tcPr>
          <w:p>
            <w:pPr>
              <w:pStyle w:val="TableParagraph"/>
              <w:spacing w:line="182" w:lineRule="exact"/>
              <w:ind w:left="238" w:right="220"/>
              <w:jc w:val="center"/>
              <w:rPr>
                <w:sz w:val="16"/>
              </w:rPr>
            </w:pPr>
            <w:r>
              <w:rPr>
                <w:color w:val="231F20"/>
                <w:w w:val="105"/>
                <w:sz w:val="16"/>
              </w:rPr>
              <w:t>5,386</w:t>
            </w:r>
          </w:p>
        </w:tc>
        <w:tc>
          <w:tcPr>
            <w:tcW w:w="815" w:type="dxa"/>
          </w:tcPr>
          <w:p>
            <w:pPr>
              <w:pStyle w:val="TableParagraph"/>
              <w:rPr>
                <w:rFonts w:ascii="Times New Roman"/>
                <w:sz w:val="14"/>
              </w:rPr>
            </w:pPr>
          </w:p>
        </w:tc>
        <w:tc>
          <w:tcPr>
            <w:tcW w:w="1043" w:type="dxa"/>
          </w:tcPr>
          <w:p>
            <w:pPr>
              <w:pStyle w:val="TableParagraph"/>
              <w:spacing w:line="182" w:lineRule="exact"/>
              <w:ind w:left="235" w:right="215"/>
              <w:jc w:val="center"/>
              <w:rPr>
                <w:sz w:val="16"/>
              </w:rPr>
            </w:pPr>
            <w:r>
              <w:rPr>
                <w:color w:val="231F20"/>
                <w:w w:val="105"/>
                <w:sz w:val="16"/>
              </w:rPr>
              <w:t>5,304</w:t>
            </w:r>
          </w:p>
        </w:tc>
      </w:tr>
      <w:tr>
        <w:trPr>
          <w:trHeight w:val="381" w:hRule="atLeast"/>
        </w:trPr>
        <w:tc>
          <w:tcPr>
            <w:tcW w:w="219" w:type="dxa"/>
          </w:tcPr>
          <w:p>
            <w:pPr>
              <w:pStyle w:val="TableParagraph"/>
              <w:rPr>
                <w:rFonts w:ascii="Times New Roman"/>
                <w:sz w:val="16"/>
              </w:rPr>
            </w:pPr>
          </w:p>
        </w:tc>
        <w:tc>
          <w:tcPr>
            <w:tcW w:w="3162" w:type="dxa"/>
          </w:tcPr>
          <w:p>
            <w:pPr>
              <w:pStyle w:val="TableParagraph"/>
              <w:spacing w:line="185" w:lineRule="exact"/>
              <w:ind w:left="85"/>
              <w:rPr>
                <w:sz w:val="16"/>
              </w:rPr>
            </w:pPr>
            <w:r>
              <w:rPr>
                <w:color w:val="231F20"/>
                <w:w w:val="105"/>
                <w:sz w:val="16"/>
              </w:rPr>
              <w:t>NH Trust Account</w:t>
            </w:r>
          </w:p>
        </w:tc>
        <w:tc>
          <w:tcPr>
            <w:tcW w:w="1051" w:type="dxa"/>
            <w:tcBorders>
              <w:bottom w:val="single" w:sz="6" w:space="0" w:color="231F20"/>
            </w:tcBorders>
          </w:tcPr>
          <w:p>
            <w:pPr>
              <w:pStyle w:val="TableParagraph"/>
              <w:spacing w:line="185" w:lineRule="exact"/>
              <w:ind w:left="236" w:right="220"/>
              <w:jc w:val="center"/>
              <w:rPr>
                <w:sz w:val="16"/>
              </w:rPr>
            </w:pPr>
            <w:r>
              <w:rPr>
                <w:color w:val="231F20"/>
                <w:w w:val="105"/>
                <w:sz w:val="16"/>
              </w:rPr>
              <w:t>51,992</w:t>
            </w:r>
          </w:p>
        </w:tc>
        <w:tc>
          <w:tcPr>
            <w:tcW w:w="815" w:type="dxa"/>
          </w:tcPr>
          <w:p>
            <w:pPr>
              <w:pStyle w:val="TableParagraph"/>
              <w:rPr>
                <w:rFonts w:ascii="Times New Roman"/>
                <w:sz w:val="16"/>
              </w:rPr>
            </w:pPr>
          </w:p>
        </w:tc>
        <w:tc>
          <w:tcPr>
            <w:tcW w:w="1043" w:type="dxa"/>
            <w:tcBorders>
              <w:bottom w:val="single" w:sz="6" w:space="0" w:color="231F20"/>
            </w:tcBorders>
          </w:tcPr>
          <w:p>
            <w:pPr>
              <w:pStyle w:val="TableParagraph"/>
              <w:spacing w:line="185" w:lineRule="exact"/>
              <w:ind w:left="235" w:right="213"/>
              <w:jc w:val="center"/>
              <w:rPr>
                <w:sz w:val="16"/>
              </w:rPr>
            </w:pPr>
            <w:r>
              <w:rPr>
                <w:color w:val="231F20"/>
                <w:w w:val="105"/>
                <w:sz w:val="16"/>
              </w:rPr>
              <w:t>48,492</w:t>
            </w:r>
          </w:p>
        </w:tc>
      </w:tr>
      <w:tr>
        <w:trPr>
          <w:trHeight w:val="211" w:hRule="atLeast"/>
        </w:trPr>
        <w:tc>
          <w:tcPr>
            <w:tcW w:w="219" w:type="dxa"/>
          </w:tcPr>
          <w:p>
            <w:pPr>
              <w:pStyle w:val="TableParagraph"/>
              <w:rPr>
                <w:rFonts w:ascii="Times New Roman"/>
                <w:sz w:val="14"/>
              </w:rPr>
            </w:pPr>
          </w:p>
        </w:tc>
        <w:tc>
          <w:tcPr>
            <w:tcW w:w="3162" w:type="dxa"/>
          </w:tcPr>
          <w:p>
            <w:pPr>
              <w:pStyle w:val="TableParagraph"/>
              <w:rPr>
                <w:rFonts w:ascii="Times New Roman"/>
                <w:sz w:val="14"/>
              </w:rPr>
            </w:pPr>
          </w:p>
        </w:tc>
        <w:tc>
          <w:tcPr>
            <w:tcW w:w="1051" w:type="dxa"/>
            <w:tcBorders>
              <w:top w:val="single" w:sz="6" w:space="0" w:color="231F20"/>
              <w:bottom w:val="single" w:sz="6" w:space="0" w:color="231F20"/>
            </w:tcBorders>
          </w:tcPr>
          <w:p>
            <w:pPr>
              <w:pStyle w:val="TableParagraph"/>
              <w:tabs>
                <w:tab w:pos="262" w:val="left" w:leader="none"/>
                <w:tab w:pos="1052" w:val="left" w:leader="none"/>
              </w:tabs>
              <w:spacing w:line="190" w:lineRule="exact" w:before="1"/>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768,857</w:t>
            </w:r>
            <w:r>
              <w:rPr>
                <w:color w:val="231F20"/>
                <w:sz w:val="16"/>
                <w:u w:val="single" w:color="231F20"/>
              </w:rPr>
              <w:tab/>
            </w:r>
          </w:p>
        </w:tc>
        <w:tc>
          <w:tcPr>
            <w:tcW w:w="815" w:type="dxa"/>
          </w:tcPr>
          <w:p>
            <w:pPr>
              <w:pStyle w:val="TableParagraph"/>
              <w:rPr>
                <w:rFonts w:ascii="Times New Roman"/>
                <w:sz w:val="14"/>
              </w:rPr>
            </w:pPr>
          </w:p>
        </w:tc>
        <w:tc>
          <w:tcPr>
            <w:tcW w:w="1043" w:type="dxa"/>
            <w:tcBorders>
              <w:top w:val="single" w:sz="6" w:space="0" w:color="231F20"/>
              <w:bottom w:val="single" w:sz="6" w:space="0" w:color="231F20"/>
            </w:tcBorders>
          </w:tcPr>
          <w:p>
            <w:pPr>
              <w:pStyle w:val="TableParagraph"/>
              <w:spacing w:line="190" w:lineRule="exact" w:before="1"/>
              <w:ind w:left="235" w:right="215"/>
              <w:jc w:val="center"/>
              <w:rPr>
                <w:sz w:val="16"/>
              </w:rPr>
            </w:pPr>
            <w:r>
              <w:rPr>
                <w:color w:val="231F20"/>
                <w:w w:val="105"/>
                <w:sz w:val="16"/>
              </w:rPr>
              <w:t>547,570</w:t>
            </w:r>
          </w:p>
        </w:tc>
      </w:tr>
      <w:tr>
        <w:trPr>
          <w:trHeight w:val="606" w:hRule="atLeast"/>
        </w:trPr>
        <w:tc>
          <w:tcPr>
            <w:tcW w:w="219" w:type="dxa"/>
          </w:tcPr>
          <w:p>
            <w:pPr>
              <w:pStyle w:val="TableParagraph"/>
              <w:spacing w:before="9"/>
              <w:rPr>
                <w:b/>
                <w:sz w:val="15"/>
              </w:rPr>
            </w:pPr>
          </w:p>
          <w:p>
            <w:pPr>
              <w:pStyle w:val="TableParagraph"/>
              <w:spacing w:before="1"/>
              <w:ind w:right="33"/>
              <w:jc w:val="center"/>
              <w:rPr>
                <w:b/>
                <w:sz w:val="16"/>
              </w:rPr>
            </w:pPr>
            <w:r>
              <w:rPr>
                <w:b/>
                <w:color w:val="231F20"/>
                <w:w w:val="103"/>
                <w:sz w:val="16"/>
              </w:rPr>
              <w:t>3</w:t>
            </w:r>
          </w:p>
        </w:tc>
        <w:tc>
          <w:tcPr>
            <w:tcW w:w="3162" w:type="dxa"/>
          </w:tcPr>
          <w:p>
            <w:pPr>
              <w:pStyle w:val="TableParagraph"/>
              <w:spacing w:before="9"/>
              <w:rPr>
                <w:b/>
                <w:sz w:val="15"/>
              </w:rPr>
            </w:pPr>
          </w:p>
          <w:p>
            <w:pPr>
              <w:pStyle w:val="TableParagraph"/>
              <w:spacing w:before="1"/>
              <w:ind w:left="85"/>
              <w:rPr>
                <w:b/>
                <w:sz w:val="16"/>
              </w:rPr>
            </w:pPr>
            <w:r>
              <w:rPr>
                <w:b/>
                <w:color w:val="231F20"/>
                <w:w w:val="105"/>
                <w:sz w:val="16"/>
              </w:rPr>
              <w:t>Sundry Creditors</w:t>
            </w:r>
          </w:p>
          <w:p>
            <w:pPr>
              <w:pStyle w:val="TableParagraph"/>
              <w:spacing w:line="192" w:lineRule="exact" w:before="6"/>
              <w:ind w:left="85"/>
              <w:rPr>
                <w:sz w:val="16"/>
              </w:rPr>
            </w:pPr>
            <w:r>
              <w:rPr>
                <w:color w:val="231F20"/>
                <w:w w:val="105"/>
                <w:sz w:val="16"/>
              </w:rPr>
              <w:t>Creditors general</w:t>
            </w:r>
          </w:p>
        </w:tc>
        <w:tc>
          <w:tcPr>
            <w:tcW w:w="1051" w:type="dxa"/>
            <w:tcBorders>
              <w:top w:val="single" w:sz="6" w:space="0" w:color="231F20"/>
            </w:tcBorders>
          </w:tcPr>
          <w:p>
            <w:pPr>
              <w:pStyle w:val="TableParagraph"/>
              <w:rPr>
                <w:b/>
                <w:sz w:val="16"/>
              </w:rPr>
            </w:pPr>
          </w:p>
          <w:p>
            <w:pPr>
              <w:pStyle w:val="TableParagraph"/>
              <w:spacing w:before="3"/>
              <w:rPr>
                <w:b/>
                <w:sz w:val="16"/>
              </w:rPr>
            </w:pPr>
          </w:p>
          <w:p>
            <w:pPr>
              <w:pStyle w:val="TableParagraph"/>
              <w:spacing w:line="192" w:lineRule="exact" w:before="1"/>
              <w:ind w:left="236" w:right="220"/>
              <w:jc w:val="center"/>
              <w:rPr>
                <w:sz w:val="16"/>
              </w:rPr>
            </w:pPr>
            <w:r>
              <w:rPr>
                <w:color w:val="231F20"/>
                <w:w w:val="105"/>
                <w:sz w:val="16"/>
              </w:rPr>
              <w:t>24,172</w:t>
            </w:r>
          </w:p>
        </w:tc>
        <w:tc>
          <w:tcPr>
            <w:tcW w:w="815" w:type="dxa"/>
          </w:tcPr>
          <w:p>
            <w:pPr>
              <w:pStyle w:val="TableParagraph"/>
              <w:rPr>
                <w:rFonts w:ascii="Times New Roman"/>
                <w:sz w:val="16"/>
              </w:rPr>
            </w:pPr>
          </w:p>
        </w:tc>
        <w:tc>
          <w:tcPr>
            <w:tcW w:w="1043" w:type="dxa"/>
            <w:tcBorders>
              <w:top w:val="single" w:sz="6" w:space="0" w:color="231F20"/>
            </w:tcBorders>
          </w:tcPr>
          <w:p>
            <w:pPr>
              <w:pStyle w:val="TableParagraph"/>
              <w:rPr>
                <w:b/>
                <w:sz w:val="16"/>
              </w:rPr>
            </w:pPr>
          </w:p>
          <w:p>
            <w:pPr>
              <w:pStyle w:val="TableParagraph"/>
              <w:spacing w:before="3"/>
              <w:rPr>
                <w:b/>
                <w:sz w:val="16"/>
              </w:rPr>
            </w:pPr>
          </w:p>
          <w:p>
            <w:pPr>
              <w:pStyle w:val="TableParagraph"/>
              <w:spacing w:line="192" w:lineRule="exact" w:before="1"/>
              <w:ind w:left="235" w:right="213"/>
              <w:jc w:val="center"/>
              <w:rPr>
                <w:sz w:val="16"/>
              </w:rPr>
            </w:pPr>
            <w:r>
              <w:rPr>
                <w:color w:val="231F20"/>
                <w:w w:val="105"/>
                <w:sz w:val="16"/>
              </w:rPr>
              <w:t>12,590</w:t>
            </w:r>
          </w:p>
        </w:tc>
      </w:tr>
      <w:tr>
        <w:trPr>
          <w:trHeight w:val="204" w:hRule="atLeast"/>
        </w:trPr>
        <w:tc>
          <w:tcPr>
            <w:tcW w:w="219" w:type="dxa"/>
          </w:tcPr>
          <w:p>
            <w:pPr>
              <w:pStyle w:val="TableParagraph"/>
              <w:rPr>
                <w:rFonts w:ascii="Times New Roman"/>
                <w:sz w:val="14"/>
              </w:rPr>
            </w:pPr>
          </w:p>
        </w:tc>
        <w:tc>
          <w:tcPr>
            <w:tcW w:w="3162" w:type="dxa"/>
          </w:tcPr>
          <w:p>
            <w:pPr>
              <w:pStyle w:val="TableParagraph"/>
              <w:spacing w:line="184" w:lineRule="exact"/>
              <w:ind w:left="85"/>
              <w:rPr>
                <w:sz w:val="16"/>
              </w:rPr>
            </w:pPr>
            <w:r>
              <w:rPr>
                <w:color w:val="231F20"/>
                <w:w w:val="105"/>
                <w:sz w:val="16"/>
              </w:rPr>
              <w:t>Accrued expenses</w:t>
            </w:r>
          </w:p>
        </w:tc>
        <w:tc>
          <w:tcPr>
            <w:tcW w:w="1051" w:type="dxa"/>
          </w:tcPr>
          <w:p>
            <w:pPr>
              <w:pStyle w:val="TableParagraph"/>
              <w:tabs>
                <w:tab w:pos="303" w:val="left" w:leader="none"/>
                <w:tab w:pos="1052" w:val="left" w:leader="none"/>
              </w:tabs>
              <w:spacing w:line="184"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23,951</w:t>
            </w:r>
            <w:r>
              <w:rPr>
                <w:color w:val="231F20"/>
                <w:sz w:val="16"/>
                <w:u w:val="single" w:color="231F20"/>
              </w:rPr>
              <w:tab/>
            </w:r>
          </w:p>
        </w:tc>
        <w:tc>
          <w:tcPr>
            <w:tcW w:w="815" w:type="dxa"/>
          </w:tcPr>
          <w:p>
            <w:pPr>
              <w:pStyle w:val="TableParagraph"/>
              <w:rPr>
                <w:rFonts w:ascii="Times New Roman"/>
                <w:sz w:val="14"/>
              </w:rPr>
            </w:pPr>
          </w:p>
        </w:tc>
        <w:tc>
          <w:tcPr>
            <w:tcW w:w="1043" w:type="dxa"/>
          </w:tcPr>
          <w:p>
            <w:pPr>
              <w:pStyle w:val="TableParagraph"/>
              <w:tabs>
                <w:tab w:pos="302" w:val="left" w:leader="none"/>
                <w:tab w:pos="1046" w:val="left" w:leader="none"/>
              </w:tabs>
              <w:spacing w:line="184" w:lineRule="exact"/>
              <w:ind w:left="2"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17,173</w:t>
            </w:r>
            <w:r>
              <w:rPr>
                <w:color w:val="231F20"/>
                <w:sz w:val="16"/>
                <w:u w:val="single" w:color="231F20"/>
              </w:rPr>
              <w:tab/>
            </w:r>
          </w:p>
        </w:tc>
      </w:tr>
      <w:tr>
        <w:trPr>
          <w:trHeight w:val="201" w:hRule="atLeast"/>
        </w:trPr>
        <w:tc>
          <w:tcPr>
            <w:tcW w:w="219" w:type="dxa"/>
          </w:tcPr>
          <w:p>
            <w:pPr>
              <w:pStyle w:val="TableParagraph"/>
              <w:rPr>
                <w:rFonts w:ascii="Times New Roman"/>
                <w:sz w:val="14"/>
              </w:rPr>
            </w:pPr>
          </w:p>
        </w:tc>
        <w:tc>
          <w:tcPr>
            <w:tcW w:w="3162" w:type="dxa"/>
          </w:tcPr>
          <w:p>
            <w:pPr>
              <w:pStyle w:val="TableParagraph"/>
              <w:rPr>
                <w:rFonts w:ascii="Times New Roman"/>
                <w:sz w:val="14"/>
              </w:rPr>
            </w:pPr>
          </w:p>
        </w:tc>
        <w:tc>
          <w:tcPr>
            <w:tcW w:w="1051" w:type="dxa"/>
            <w:tcBorders>
              <w:bottom w:val="single" w:sz="6" w:space="0" w:color="231F20"/>
            </w:tcBorders>
          </w:tcPr>
          <w:p>
            <w:pPr>
              <w:pStyle w:val="TableParagraph"/>
              <w:tabs>
                <w:tab w:pos="303" w:val="left" w:leader="none"/>
                <w:tab w:pos="1052" w:val="left" w:leader="none"/>
              </w:tabs>
              <w:spacing w:line="182"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48,123</w:t>
            </w:r>
            <w:r>
              <w:rPr>
                <w:color w:val="231F20"/>
                <w:sz w:val="16"/>
                <w:u w:val="single" w:color="231F20"/>
              </w:rPr>
              <w:tab/>
            </w:r>
          </w:p>
        </w:tc>
        <w:tc>
          <w:tcPr>
            <w:tcW w:w="815" w:type="dxa"/>
          </w:tcPr>
          <w:p>
            <w:pPr>
              <w:pStyle w:val="TableParagraph"/>
              <w:rPr>
                <w:rFonts w:ascii="Times New Roman"/>
                <w:sz w:val="14"/>
              </w:rPr>
            </w:pPr>
          </w:p>
        </w:tc>
        <w:tc>
          <w:tcPr>
            <w:tcW w:w="1043" w:type="dxa"/>
            <w:tcBorders>
              <w:bottom w:val="single" w:sz="6" w:space="0" w:color="231F20"/>
            </w:tcBorders>
          </w:tcPr>
          <w:p>
            <w:pPr>
              <w:pStyle w:val="TableParagraph"/>
              <w:spacing w:line="182" w:lineRule="exact"/>
              <w:ind w:left="235" w:right="213"/>
              <w:jc w:val="center"/>
              <w:rPr>
                <w:sz w:val="16"/>
              </w:rPr>
            </w:pPr>
            <w:r>
              <w:rPr>
                <w:color w:val="231F20"/>
                <w:w w:val="105"/>
                <w:sz w:val="16"/>
              </w:rPr>
              <w:t>29,763</w:t>
            </w:r>
          </w:p>
        </w:tc>
      </w:tr>
      <w:tr>
        <w:trPr>
          <w:trHeight w:val="505" w:hRule="atLeast"/>
        </w:trPr>
        <w:tc>
          <w:tcPr>
            <w:tcW w:w="219" w:type="dxa"/>
          </w:tcPr>
          <w:p>
            <w:pPr>
              <w:pStyle w:val="TableParagraph"/>
              <w:spacing w:before="9"/>
              <w:rPr>
                <w:b/>
                <w:sz w:val="15"/>
              </w:rPr>
            </w:pPr>
          </w:p>
          <w:p>
            <w:pPr>
              <w:pStyle w:val="TableParagraph"/>
              <w:spacing w:before="1"/>
              <w:ind w:right="33"/>
              <w:jc w:val="center"/>
              <w:rPr>
                <w:b/>
                <w:sz w:val="16"/>
              </w:rPr>
            </w:pPr>
            <w:r>
              <w:rPr>
                <w:b/>
                <w:color w:val="231F20"/>
                <w:w w:val="103"/>
                <w:sz w:val="16"/>
              </w:rPr>
              <w:t>4</w:t>
            </w:r>
          </w:p>
        </w:tc>
        <w:tc>
          <w:tcPr>
            <w:tcW w:w="3162" w:type="dxa"/>
          </w:tcPr>
          <w:p>
            <w:pPr>
              <w:pStyle w:val="TableParagraph"/>
              <w:spacing w:before="9"/>
              <w:rPr>
                <w:b/>
                <w:sz w:val="15"/>
              </w:rPr>
            </w:pPr>
          </w:p>
          <w:p>
            <w:pPr>
              <w:pStyle w:val="TableParagraph"/>
              <w:spacing w:before="1"/>
              <w:ind w:left="85"/>
              <w:rPr>
                <w:b/>
                <w:sz w:val="16"/>
              </w:rPr>
            </w:pPr>
            <w:r>
              <w:rPr>
                <w:b/>
                <w:color w:val="231F20"/>
                <w:w w:val="105"/>
                <w:sz w:val="16"/>
              </w:rPr>
              <w:t>Income Received in Advance</w:t>
            </w:r>
          </w:p>
        </w:tc>
        <w:tc>
          <w:tcPr>
            <w:tcW w:w="1051" w:type="dxa"/>
            <w:tcBorders>
              <w:top w:val="single" w:sz="6" w:space="0" w:color="231F20"/>
            </w:tcBorders>
          </w:tcPr>
          <w:p>
            <w:pPr>
              <w:pStyle w:val="TableParagraph"/>
              <w:rPr>
                <w:rFonts w:ascii="Times New Roman"/>
                <w:sz w:val="16"/>
              </w:rPr>
            </w:pPr>
          </w:p>
        </w:tc>
        <w:tc>
          <w:tcPr>
            <w:tcW w:w="815" w:type="dxa"/>
          </w:tcPr>
          <w:p>
            <w:pPr>
              <w:pStyle w:val="TableParagraph"/>
              <w:rPr>
                <w:rFonts w:ascii="Times New Roman"/>
                <w:sz w:val="16"/>
              </w:rPr>
            </w:pPr>
          </w:p>
        </w:tc>
        <w:tc>
          <w:tcPr>
            <w:tcW w:w="1043" w:type="dxa"/>
            <w:tcBorders>
              <w:top w:val="single" w:sz="6" w:space="0" w:color="231F20"/>
            </w:tcBorders>
          </w:tcPr>
          <w:p>
            <w:pPr>
              <w:pStyle w:val="TableParagraph"/>
              <w:rPr>
                <w:rFonts w:ascii="Times New Roman"/>
                <w:sz w:val="16"/>
              </w:rPr>
            </w:pPr>
          </w:p>
        </w:tc>
      </w:tr>
      <w:tr>
        <w:trPr>
          <w:trHeight w:val="302" w:hRule="atLeast"/>
        </w:trPr>
        <w:tc>
          <w:tcPr>
            <w:tcW w:w="219" w:type="dxa"/>
          </w:tcPr>
          <w:p>
            <w:pPr>
              <w:pStyle w:val="TableParagraph"/>
              <w:rPr>
                <w:rFonts w:ascii="Times New Roman"/>
                <w:sz w:val="16"/>
              </w:rPr>
            </w:pPr>
          </w:p>
        </w:tc>
        <w:tc>
          <w:tcPr>
            <w:tcW w:w="3162" w:type="dxa"/>
          </w:tcPr>
          <w:p>
            <w:pPr>
              <w:pStyle w:val="TableParagraph"/>
              <w:spacing w:line="192" w:lineRule="exact" w:before="90"/>
              <w:ind w:left="85"/>
              <w:rPr>
                <w:sz w:val="16"/>
              </w:rPr>
            </w:pPr>
            <w:r>
              <w:rPr>
                <w:color w:val="231F20"/>
                <w:w w:val="105"/>
                <w:sz w:val="16"/>
              </w:rPr>
              <w:t>Individual Funds</w:t>
            </w:r>
          </w:p>
        </w:tc>
        <w:tc>
          <w:tcPr>
            <w:tcW w:w="1051" w:type="dxa"/>
          </w:tcPr>
          <w:p>
            <w:pPr>
              <w:pStyle w:val="TableParagraph"/>
              <w:spacing w:line="192" w:lineRule="exact" w:before="90"/>
              <w:ind w:left="18"/>
              <w:jc w:val="center"/>
              <w:rPr>
                <w:sz w:val="16"/>
              </w:rPr>
            </w:pPr>
            <w:r>
              <w:rPr>
                <w:color w:val="231F20"/>
                <w:w w:val="103"/>
                <w:sz w:val="16"/>
              </w:rPr>
              <w:t>0</w:t>
            </w:r>
          </w:p>
        </w:tc>
        <w:tc>
          <w:tcPr>
            <w:tcW w:w="815" w:type="dxa"/>
          </w:tcPr>
          <w:p>
            <w:pPr>
              <w:pStyle w:val="TableParagraph"/>
              <w:rPr>
                <w:rFonts w:ascii="Times New Roman"/>
                <w:sz w:val="16"/>
              </w:rPr>
            </w:pPr>
          </w:p>
        </w:tc>
        <w:tc>
          <w:tcPr>
            <w:tcW w:w="1043" w:type="dxa"/>
          </w:tcPr>
          <w:p>
            <w:pPr>
              <w:pStyle w:val="TableParagraph"/>
              <w:spacing w:line="192" w:lineRule="exact" w:before="90"/>
              <w:ind w:left="235" w:right="215"/>
              <w:jc w:val="center"/>
              <w:rPr>
                <w:sz w:val="16"/>
              </w:rPr>
            </w:pPr>
            <w:r>
              <w:rPr>
                <w:color w:val="231F20"/>
                <w:w w:val="105"/>
                <w:sz w:val="16"/>
              </w:rPr>
              <w:t>5,000</w:t>
            </w:r>
          </w:p>
        </w:tc>
      </w:tr>
      <w:tr>
        <w:trPr>
          <w:trHeight w:val="201" w:hRule="atLeast"/>
        </w:trPr>
        <w:tc>
          <w:tcPr>
            <w:tcW w:w="219" w:type="dxa"/>
          </w:tcPr>
          <w:p>
            <w:pPr>
              <w:pStyle w:val="TableParagraph"/>
              <w:rPr>
                <w:rFonts w:ascii="Times New Roman"/>
                <w:sz w:val="14"/>
              </w:rPr>
            </w:pPr>
          </w:p>
        </w:tc>
        <w:tc>
          <w:tcPr>
            <w:tcW w:w="3162" w:type="dxa"/>
          </w:tcPr>
          <w:p>
            <w:pPr>
              <w:pStyle w:val="TableParagraph"/>
              <w:spacing w:line="182" w:lineRule="exact"/>
              <w:ind w:left="85"/>
              <w:rPr>
                <w:sz w:val="16"/>
              </w:rPr>
            </w:pPr>
            <w:r>
              <w:rPr>
                <w:color w:val="231F20"/>
                <w:w w:val="105"/>
                <w:sz w:val="16"/>
              </w:rPr>
              <w:t>Disability Services Commission</w:t>
            </w:r>
          </w:p>
        </w:tc>
        <w:tc>
          <w:tcPr>
            <w:tcW w:w="1051" w:type="dxa"/>
          </w:tcPr>
          <w:p>
            <w:pPr>
              <w:pStyle w:val="TableParagraph"/>
              <w:spacing w:line="182" w:lineRule="exact"/>
              <w:ind w:left="236" w:right="220"/>
              <w:jc w:val="center"/>
              <w:rPr>
                <w:sz w:val="16"/>
              </w:rPr>
            </w:pPr>
            <w:r>
              <w:rPr>
                <w:color w:val="231F20"/>
                <w:w w:val="105"/>
                <w:sz w:val="16"/>
              </w:rPr>
              <w:t>91,573</w:t>
            </w:r>
          </w:p>
        </w:tc>
        <w:tc>
          <w:tcPr>
            <w:tcW w:w="815" w:type="dxa"/>
          </w:tcPr>
          <w:p>
            <w:pPr>
              <w:pStyle w:val="TableParagraph"/>
              <w:rPr>
                <w:rFonts w:ascii="Times New Roman"/>
                <w:sz w:val="14"/>
              </w:rPr>
            </w:pPr>
          </w:p>
        </w:tc>
        <w:tc>
          <w:tcPr>
            <w:tcW w:w="1043" w:type="dxa"/>
          </w:tcPr>
          <w:p>
            <w:pPr>
              <w:pStyle w:val="TableParagraph"/>
              <w:spacing w:line="182" w:lineRule="exact"/>
              <w:ind w:left="235" w:right="213"/>
              <w:jc w:val="center"/>
              <w:rPr>
                <w:sz w:val="16"/>
              </w:rPr>
            </w:pPr>
            <w:r>
              <w:rPr>
                <w:color w:val="231F20"/>
                <w:w w:val="105"/>
                <w:sz w:val="16"/>
              </w:rPr>
              <w:t>48,953</w:t>
            </w:r>
          </w:p>
        </w:tc>
      </w:tr>
      <w:tr>
        <w:trPr>
          <w:trHeight w:val="204" w:hRule="atLeast"/>
        </w:trPr>
        <w:tc>
          <w:tcPr>
            <w:tcW w:w="219" w:type="dxa"/>
          </w:tcPr>
          <w:p>
            <w:pPr>
              <w:pStyle w:val="TableParagraph"/>
              <w:rPr>
                <w:rFonts w:ascii="Times New Roman"/>
                <w:sz w:val="14"/>
              </w:rPr>
            </w:pPr>
          </w:p>
        </w:tc>
        <w:tc>
          <w:tcPr>
            <w:tcW w:w="3162" w:type="dxa"/>
          </w:tcPr>
          <w:p>
            <w:pPr>
              <w:pStyle w:val="TableParagraph"/>
              <w:spacing w:line="184" w:lineRule="exact"/>
              <w:ind w:left="85"/>
              <w:rPr>
                <w:sz w:val="16"/>
              </w:rPr>
            </w:pPr>
            <w:r>
              <w:rPr>
                <w:color w:val="231F20"/>
                <w:w w:val="105"/>
                <w:sz w:val="16"/>
              </w:rPr>
              <w:t>National Disability Insurance Agency</w:t>
            </w:r>
          </w:p>
        </w:tc>
        <w:tc>
          <w:tcPr>
            <w:tcW w:w="1051" w:type="dxa"/>
          </w:tcPr>
          <w:p>
            <w:pPr>
              <w:pStyle w:val="TableParagraph"/>
              <w:tabs>
                <w:tab w:pos="262" w:val="left" w:leader="none"/>
                <w:tab w:pos="1052" w:val="left" w:leader="none"/>
              </w:tabs>
              <w:spacing w:line="184"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126,077</w:t>
            </w:r>
            <w:r>
              <w:rPr>
                <w:color w:val="231F20"/>
                <w:sz w:val="16"/>
                <w:u w:val="single" w:color="231F20"/>
              </w:rPr>
              <w:tab/>
            </w:r>
          </w:p>
        </w:tc>
        <w:tc>
          <w:tcPr>
            <w:tcW w:w="815" w:type="dxa"/>
          </w:tcPr>
          <w:p>
            <w:pPr>
              <w:pStyle w:val="TableParagraph"/>
              <w:rPr>
                <w:rFonts w:ascii="Times New Roman"/>
                <w:sz w:val="14"/>
              </w:rPr>
            </w:pPr>
          </w:p>
        </w:tc>
        <w:tc>
          <w:tcPr>
            <w:tcW w:w="1043" w:type="dxa"/>
          </w:tcPr>
          <w:p>
            <w:pPr>
              <w:pStyle w:val="TableParagraph"/>
              <w:tabs>
                <w:tab w:pos="489" w:val="left" w:leader="none"/>
                <w:tab w:pos="1046" w:val="left" w:leader="none"/>
              </w:tabs>
              <w:spacing w:line="184" w:lineRule="exact"/>
              <w:ind w:left="2"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0</w:t>
            </w:r>
            <w:r>
              <w:rPr>
                <w:color w:val="231F20"/>
                <w:sz w:val="16"/>
                <w:u w:val="single" w:color="231F20"/>
              </w:rPr>
              <w:tab/>
            </w:r>
          </w:p>
        </w:tc>
      </w:tr>
      <w:tr>
        <w:trPr>
          <w:trHeight w:val="201" w:hRule="atLeast"/>
        </w:trPr>
        <w:tc>
          <w:tcPr>
            <w:tcW w:w="219" w:type="dxa"/>
          </w:tcPr>
          <w:p>
            <w:pPr>
              <w:pStyle w:val="TableParagraph"/>
              <w:rPr>
                <w:rFonts w:ascii="Times New Roman"/>
                <w:sz w:val="14"/>
              </w:rPr>
            </w:pPr>
          </w:p>
        </w:tc>
        <w:tc>
          <w:tcPr>
            <w:tcW w:w="3162" w:type="dxa"/>
          </w:tcPr>
          <w:p>
            <w:pPr>
              <w:pStyle w:val="TableParagraph"/>
              <w:rPr>
                <w:rFonts w:ascii="Times New Roman"/>
                <w:sz w:val="14"/>
              </w:rPr>
            </w:pPr>
          </w:p>
        </w:tc>
        <w:tc>
          <w:tcPr>
            <w:tcW w:w="1051" w:type="dxa"/>
            <w:tcBorders>
              <w:bottom w:val="single" w:sz="6" w:space="0" w:color="231F20"/>
            </w:tcBorders>
          </w:tcPr>
          <w:p>
            <w:pPr>
              <w:pStyle w:val="TableParagraph"/>
              <w:tabs>
                <w:tab w:pos="262" w:val="left" w:leader="none"/>
                <w:tab w:pos="1052" w:val="left" w:leader="none"/>
              </w:tabs>
              <w:spacing w:line="182"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217,650</w:t>
            </w:r>
            <w:r>
              <w:rPr>
                <w:color w:val="231F20"/>
                <w:sz w:val="16"/>
                <w:u w:val="single" w:color="231F20"/>
              </w:rPr>
              <w:tab/>
            </w:r>
          </w:p>
        </w:tc>
        <w:tc>
          <w:tcPr>
            <w:tcW w:w="815" w:type="dxa"/>
          </w:tcPr>
          <w:p>
            <w:pPr>
              <w:pStyle w:val="TableParagraph"/>
              <w:rPr>
                <w:rFonts w:ascii="Times New Roman"/>
                <w:sz w:val="14"/>
              </w:rPr>
            </w:pPr>
          </w:p>
        </w:tc>
        <w:tc>
          <w:tcPr>
            <w:tcW w:w="1043" w:type="dxa"/>
            <w:tcBorders>
              <w:bottom w:val="single" w:sz="6" w:space="0" w:color="231F20"/>
            </w:tcBorders>
          </w:tcPr>
          <w:p>
            <w:pPr>
              <w:pStyle w:val="TableParagraph"/>
              <w:spacing w:line="182" w:lineRule="exact"/>
              <w:ind w:left="235" w:right="213"/>
              <w:jc w:val="center"/>
              <w:rPr>
                <w:sz w:val="16"/>
              </w:rPr>
            </w:pPr>
            <w:r>
              <w:rPr>
                <w:color w:val="231F20"/>
                <w:w w:val="105"/>
                <w:sz w:val="16"/>
              </w:rPr>
              <w:t>53,953</w:t>
            </w:r>
          </w:p>
        </w:tc>
      </w:tr>
      <w:tr>
        <w:trPr>
          <w:trHeight w:val="808" w:hRule="atLeast"/>
        </w:trPr>
        <w:tc>
          <w:tcPr>
            <w:tcW w:w="219" w:type="dxa"/>
          </w:tcPr>
          <w:p>
            <w:pPr>
              <w:pStyle w:val="TableParagraph"/>
              <w:spacing w:before="9"/>
              <w:rPr>
                <w:b/>
                <w:sz w:val="15"/>
              </w:rPr>
            </w:pPr>
          </w:p>
          <w:p>
            <w:pPr>
              <w:pStyle w:val="TableParagraph"/>
              <w:spacing w:before="1"/>
              <w:ind w:right="33"/>
              <w:jc w:val="center"/>
              <w:rPr>
                <w:b/>
                <w:sz w:val="16"/>
              </w:rPr>
            </w:pPr>
            <w:r>
              <w:rPr>
                <w:b/>
                <w:color w:val="231F20"/>
                <w:w w:val="103"/>
                <w:sz w:val="16"/>
              </w:rPr>
              <w:t>5</w:t>
            </w:r>
          </w:p>
        </w:tc>
        <w:tc>
          <w:tcPr>
            <w:tcW w:w="3162" w:type="dxa"/>
          </w:tcPr>
          <w:p>
            <w:pPr>
              <w:pStyle w:val="TableParagraph"/>
              <w:spacing w:before="9"/>
              <w:rPr>
                <w:b/>
                <w:sz w:val="15"/>
              </w:rPr>
            </w:pPr>
          </w:p>
          <w:p>
            <w:pPr>
              <w:pStyle w:val="TableParagraph"/>
              <w:spacing w:before="1"/>
              <w:ind w:left="85"/>
              <w:rPr>
                <w:b/>
                <w:sz w:val="16"/>
              </w:rPr>
            </w:pPr>
            <w:r>
              <w:rPr>
                <w:b/>
                <w:color w:val="231F20"/>
                <w:w w:val="105"/>
                <w:sz w:val="16"/>
              </w:rPr>
              <w:t>Current Provisions</w:t>
            </w:r>
          </w:p>
          <w:p>
            <w:pPr>
              <w:pStyle w:val="TableParagraph"/>
              <w:spacing w:before="6"/>
              <w:ind w:left="85"/>
              <w:rPr>
                <w:sz w:val="16"/>
              </w:rPr>
            </w:pPr>
            <w:r>
              <w:rPr>
                <w:color w:val="231F20"/>
                <w:w w:val="105"/>
                <w:sz w:val="16"/>
              </w:rPr>
              <w:t>Employee Entitlements:</w:t>
            </w:r>
          </w:p>
          <w:p>
            <w:pPr>
              <w:pStyle w:val="TableParagraph"/>
              <w:spacing w:line="192" w:lineRule="exact" w:before="7"/>
              <w:ind w:left="85"/>
              <w:rPr>
                <w:sz w:val="16"/>
              </w:rPr>
            </w:pPr>
            <w:r>
              <w:rPr>
                <w:color w:val="231F20"/>
                <w:w w:val="105"/>
                <w:sz w:val="16"/>
              </w:rPr>
              <w:t>Long Service Leave - Current</w:t>
            </w:r>
          </w:p>
        </w:tc>
        <w:tc>
          <w:tcPr>
            <w:tcW w:w="1051" w:type="dxa"/>
            <w:tcBorders>
              <w:top w:val="single" w:sz="6" w:space="0" w:color="231F20"/>
            </w:tcBorders>
          </w:tcPr>
          <w:p>
            <w:pPr>
              <w:pStyle w:val="TableParagraph"/>
              <w:rPr>
                <w:b/>
                <w:sz w:val="16"/>
              </w:rPr>
            </w:pPr>
          </w:p>
          <w:p>
            <w:pPr>
              <w:pStyle w:val="TableParagraph"/>
              <w:rPr>
                <w:b/>
                <w:sz w:val="16"/>
              </w:rPr>
            </w:pPr>
          </w:p>
          <w:p>
            <w:pPr>
              <w:pStyle w:val="TableParagraph"/>
              <w:spacing w:before="10"/>
              <w:rPr>
                <w:b/>
                <w:sz w:val="16"/>
              </w:rPr>
            </w:pPr>
          </w:p>
          <w:p>
            <w:pPr>
              <w:pStyle w:val="TableParagraph"/>
              <w:spacing w:line="192" w:lineRule="exact"/>
              <w:ind w:left="238" w:right="220"/>
              <w:jc w:val="center"/>
              <w:rPr>
                <w:sz w:val="16"/>
              </w:rPr>
            </w:pPr>
            <w:r>
              <w:rPr>
                <w:color w:val="231F20"/>
                <w:w w:val="105"/>
                <w:sz w:val="16"/>
              </w:rPr>
              <w:t>(1,469)</w:t>
            </w:r>
          </w:p>
        </w:tc>
        <w:tc>
          <w:tcPr>
            <w:tcW w:w="815" w:type="dxa"/>
          </w:tcPr>
          <w:p>
            <w:pPr>
              <w:pStyle w:val="TableParagraph"/>
              <w:rPr>
                <w:rFonts w:ascii="Times New Roman"/>
                <w:sz w:val="16"/>
              </w:rPr>
            </w:pPr>
          </w:p>
        </w:tc>
        <w:tc>
          <w:tcPr>
            <w:tcW w:w="1043" w:type="dxa"/>
            <w:tcBorders>
              <w:top w:val="single" w:sz="6" w:space="0" w:color="231F20"/>
            </w:tcBorders>
          </w:tcPr>
          <w:p>
            <w:pPr>
              <w:pStyle w:val="TableParagraph"/>
              <w:rPr>
                <w:b/>
                <w:sz w:val="16"/>
              </w:rPr>
            </w:pPr>
          </w:p>
          <w:p>
            <w:pPr>
              <w:pStyle w:val="TableParagraph"/>
              <w:rPr>
                <w:b/>
                <w:sz w:val="16"/>
              </w:rPr>
            </w:pPr>
          </w:p>
          <w:p>
            <w:pPr>
              <w:pStyle w:val="TableParagraph"/>
              <w:spacing w:before="10"/>
              <w:rPr>
                <w:b/>
                <w:sz w:val="16"/>
              </w:rPr>
            </w:pPr>
          </w:p>
          <w:p>
            <w:pPr>
              <w:pStyle w:val="TableParagraph"/>
              <w:spacing w:line="192" w:lineRule="exact"/>
              <w:ind w:left="235" w:right="213"/>
              <w:jc w:val="center"/>
              <w:rPr>
                <w:sz w:val="16"/>
              </w:rPr>
            </w:pPr>
            <w:r>
              <w:rPr>
                <w:color w:val="231F20"/>
                <w:w w:val="105"/>
                <w:sz w:val="16"/>
              </w:rPr>
              <w:t>14,136</w:t>
            </w:r>
          </w:p>
        </w:tc>
      </w:tr>
      <w:tr>
        <w:trPr>
          <w:trHeight w:val="204" w:hRule="atLeast"/>
        </w:trPr>
        <w:tc>
          <w:tcPr>
            <w:tcW w:w="219" w:type="dxa"/>
          </w:tcPr>
          <w:p>
            <w:pPr>
              <w:pStyle w:val="TableParagraph"/>
              <w:rPr>
                <w:rFonts w:ascii="Times New Roman"/>
                <w:sz w:val="14"/>
              </w:rPr>
            </w:pPr>
          </w:p>
        </w:tc>
        <w:tc>
          <w:tcPr>
            <w:tcW w:w="3162" w:type="dxa"/>
          </w:tcPr>
          <w:p>
            <w:pPr>
              <w:pStyle w:val="TableParagraph"/>
              <w:spacing w:line="184" w:lineRule="exact"/>
              <w:ind w:left="85"/>
              <w:rPr>
                <w:sz w:val="16"/>
              </w:rPr>
            </w:pPr>
            <w:r>
              <w:rPr>
                <w:color w:val="231F20"/>
                <w:w w:val="105"/>
                <w:sz w:val="16"/>
              </w:rPr>
              <w:t>Long Service Leave - Non Current</w:t>
            </w:r>
          </w:p>
        </w:tc>
        <w:tc>
          <w:tcPr>
            <w:tcW w:w="1051" w:type="dxa"/>
          </w:tcPr>
          <w:p>
            <w:pPr>
              <w:pStyle w:val="TableParagraph"/>
              <w:tabs>
                <w:tab w:pos="303" w:val="left" w:leader="none"/>
                <w:tab w:pos="1052" w:val="left" w:leader="none"/>
              </w:tabs>
              <w:spacing w:line="184"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60,756</w:t>
            </w:r>
            <w:r>
              <w:rPr>
                <w:color w:val="231F20"/>
                <w:sz w:val="16"/>
                <w:u w:val="single" w:color="231F20"/>
              </w:rPr>
              <w:tab/>
            </w:r>
          </w:p>
        </w:tc>
        <w:tc>
          <w:tcPr>
            <w:tcW w:w="815" w:type="dxa"/>
          </w:tcPr>
          <w:p>
            <w:pPr>
              <w:pStyle w:val="TableParagraph"/>
              <w:rPr>
                <w:rFonts w:ascii="Times New Roman"/>
                <w:sz w:val="14"/>
              </w:rPr>
            </w:pPr>
          </w:p>
        </w:tc>
        <w:tc>
          <w:tcPr>
            <w:tcW w:w="1043" w:type="dxa"/>
          </w:tcPr>
          <w:p>
            <w:pPr>
              <w:pStyle w:val="TableParagraph"/>
              <w:tabs>
                <w:tab w:pos="302" w:val="left" w:leader="none"/>
                <w:tab w:pos="1046" w:val="left" w:leader="none"/>
              </w:tabs>
              <w:spacing w:line="184" w:lineRule="exact"/>
              <w:ind w:left="2"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57,313</w:t>
            </w:r>
            <w:r>
              <w:rPr>
                <w:color w:val="231F20"/>
                <w:sz w:val="16"/>
                <w:u w:val="single" w:color="231F20"/>
              </w:rPr>
              <w:tab/>
            </w:r>
          </w:p>
        </w:tc>
      </w:tr>
      <w:tr>
        <w:trPr>
          <w:trHeight w:val="201" w:hRule="atLeast"/>
        </w:trPr>
        <w:tc>
          <w:tcPr>
            <w:tcW w:w="219" w:type="dxa"/>
          </w:tcPr>
          <w:p>
            <w:pPr>
              <w:pStyle w:val="TableParagraph"/>
              <w:rPr>
                <w:rFonts w:ascii="Times New Roman"/>
                <w:sz w:val="14"/>
              </w:rPr>
            </w:pPr>
          </w:p>
        </w:tc>
        <w:tc>
          <w:tcPr>
            <w:tcW w:w="3162" w:type="dxa"/>
          </w:tcPr>
          <w:p>
            <w:pPr>
              <w:pStyle w:val="TableParagraph"/>
              <w:rPr>
                <w:rFonts w:ascii="Times New Roman"/>
                <w:sz w:val="14"/>
              </w:rPr>
            </w:pPr>
          </w:p>
        </w:tc>
        <w:tc>
          <w:tcPr>
            <w:tcW w:w="1051" w:type="dxa"/>
            <w:tcBorders>
              <w:bottom w:val="single" w:sz="6" w:space="0" w:color="231F20"/>
            </w:tcBorders>
          </w:tcPr>
          <w:p>
            <w:pPr>
              <w:pStyle w:val="TableParagraph"/>
              <w:tabs>
                <w:tab w:pos="303" w:val="left" w:leader="none"/>
                <w:tab w:pos="1052" w:val="left" w:leader="none"/>
              </w:tabs>
              <w:spacing w:line="182"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59,287</w:t>
            </w:r>
            <w:r>
              <w:rPr>
                <w:color w:val="231F20"/>
                <w:sz w:val="16"/>
                <w:u w:val="single" w:color="231F20"/>
              </w:rPr>
              <w:tab/>
            </w:r>
          </w:p>
        </w:tc>
        <w:tc>
          <w:tcPr>
            <w:tcW w:w="815" w:type="dxa"/>
          </w:tcPr>
          <w:p>
            <w:pPr>
              <w:pStyle w:val="TableParagraph"/>
              <w:rPr>
                <w:rFonts w:ascii="Times New Roman"/>
                <w:sz w:val="14"/>
              </w:rPr>
            </w:pPr>
          </w:p>
        </w:tc>
        <w:tc>
          <w:tcPr>
            <w:tcW w:w="1043" w:type="dxa"/>
            <w:tcBorders>
              <w:bottom w:val="single" w:sz="6" w:space="0" w:color="231F20"/>
            </w:tcBorders>
          </w:tcPr>
          <w:p>
            <w:pPr>
              <w:pStyle w:val="TableParagraph"/>
              <w:spacing w:line="182" w:lineRule="exact"/>
              <w:ind w:left="235" w:right="213"/>
              <w:jc w:val="center"/>
              <w:rPr>
                <w:sz w:val="16"/>
              </w:rPr>
            </w:pPr>
            <w:r>
              <w:rPr>
                <w:color w:val="231F20"/>
                <w:w w:val="105"/>
                <w:sz w:val="16"/>
              </w:rPr>
              <w:t>71,448</w:t>
            </w:r>
          </w:p>
        </w:tc>
      </w:tr>
      <w:tr>
        <w:trPr>
          <w:trHeight w:val="404" w:hRule="atLeast"/>
        </w:trPr>
        <w:tc>
          <w:tcPr>
            <w:tcW w:w="219" w:type="dxa"/>
          </w:tcPr>
          <w:p>
            <w:pPr>
              <w:pStyle w:val="TableParagraph"/>
              <w:rPr>
                <w:rFonts w:ascii="Times New Roman"/>
                <w:sz w:val="16"/>
              </w:rPr>
            </w:pPr>
          </w:p>
        </w:tc>
        <w:tc>
          <w:tcPr>
            <w:tcW w:w="3162" w:type="dxa"/>
          </w:tcPr>
          <w:p>
            <w:pPr>
              <w:pStyle w:val="TableParagraph"/>
              <w:spacing w:before="9"/>
              <w:rPr>
                <w:b/>
                <w:sz w:val="15"/>
              </w:rPr>
            </w:pPr>
          </w:p>
          <w:p>
            <w:pPr>
              <w:pStyle w:val="TableParagraph"/>
              <w:spacing w:line="192" w:lineRule="exact" w:before="1"/>
              <w:ind w:left="85"/>
              <w:rPr>
                <w:sz w:val="16"/>
              </w:rPr>
            </w:pPr>
            <w:r>
              <w:rPr>
                <w:color w:val="231F20"/>
                <w:w w:val="105"/>
                <w:sz w:val="16"/>
              </w:rPr>
              <w:t>Annual Leave</w:t>
            </w:r>
          </w:p>
        </w:tc>
        <w:tc>
          <w:tcPr>
            <w:tcW w:w="1051" w:type="dxa"/>
            <w:tcBorders>
              <w:top w:val="single" w:sz="6" w:space="0" w:color="231F20"/>
            </w:tcBorders>
          </w:tcPr>
          <w:p>
            <w:pPr>
              <w:pStyle w:val="TableParagraph"/>
              <w:spacing w:before="9"/>
              <w:rPr>
                <w:b/>
                <w:sz w:val="15"/>
              </w:rPr>
            </w:pPr>
          </w:p>
          <w:p>
            <w:pPr>
              <w:pStyle w:val="TableParagraph"/>
              <w:spacing w:line="192" w:lineRule="exact" w:before="1"/>
              <w:ind w:left="236" w:right="220"/>
              <w:jc w:val="center"/>
              <w:rPr>
                <w:sz w:val="16"/>
              </w:rPr>
            </w:pPr>
            <w:r>
              <w:rPr>
                <w:color w:val="231F20"/>
                <w:w w:val="105"/>
                <w:sz w:val="16"/>
              </w:rPr>
              <w:t>29,349</w:t>
            </w:r>
          </w:p>
        </w:tc>
        <w:tc>
          <w:tcPr>
            <w:tcW w:w="815" w:type="dxa"/>
          </w:tcPr>
          <w:p>
            <w:pPr>
              <w:pStyle w:val="TableParagraph"/>
              <w:rPr>
                <w:rFonts w:ascii="Times New Roman"/>
                <w:sz w:val="16"/>
              </w:rPr>
            </w:pPr>
          </w:p>
        </w:tc>
        <w:tc>
          <w:tcPr>
            <w:tcW w:w="1043" w:type="dxa"/>
            <w:tcBorders>
              <w:top w:val="single" w:sz="6" w:space="0" w:color="231F20"/>
            </w:tcBorders>
          </w:tcPr>
          <w:p>
            <w:pPr>
              <w:pStyle w:val="TableParagraph"/>
              <w:spacing w:before="9"/>
              <w:rPr>
                <w:b/>
                <w:sz w:val="15"/>
              </w:rPr>
            </w:pPr>
          </w:p>
          <w:p>
            <w:pPr>
              <w:pStyle w:val="TableParagraph"/>
              <w:spacing w:line="192" w:lineRule="exact" w:before="1"/>
              <w:ind w:left="235" w:right="213"/>
              <w:jc w:val="center"/>
              <w:rPr>
                <w:sz w:val="16"/>
              </w:rPr>
            </w:pPr>
            <w:r>
              <w:rPr>
                <w:color w:val="231F20"/>
                <w:w w:val="105"/>
                <w:sz w:val="16"/>
              </w:rPr>
              <w:t>37,317</w:t>
            </w:r>
          </w:p>
        </w:tc>
      </w:tr>
      <w:tr>
        <w:trPr>
          <w:trHeight w:val="204" w:hRule="atLeast"/>
        </w:trPr>
        <w:tc>
          <w:tcPr>
            <w:tcW w:w="219" w:type="dxa"/>
          </w:tcPr>
          <w:p>
            <w:pPr>
              <w:pStyle w:val="TableParagraph"/>
              <w:rPr>
                <w:rFonts w:ascii="Times New Roman"/>
                <w:sz w:val="14"/>
              </w:rPr>
            </w:pPr>
          </w:p>
        </w:tc>
        <w:tc>
          <w:tcPr>
            <w:tcW w:w="3162" w:type="dxa"/>
          </w:tcPr>
          <w:p>
            <w:pPr>
              <w:pStyle w:val="TableParagraph"/>
              <w:spacing w:line="184" w:lineRule="exact"/>
              <w:ind w:left="85"/>
              <w:rPr>
                <w:sz w:val="16"/>
              </w:rPr>
            </w:pPr>
            <w:r>
              <w:rPr>
                <w:color w:val="231F20"/>
                <w:w w:val="105"/>
                <w:sz w:val="16"/>
              </w:rPr>
              <w:t>Sick Leave</w:t>
            </w:r>
          </w:p>
        </w:tc>
        <w:tc>
          <w:tcPr>
            <w:tcW w:w="1051" w:type="dxa"/>
          </w:tcPr>
          <w:p>
            <w:pPr>
              <w:pStyle w:val="TableParagraph"/>
              <w:tabs>
                <w:tab w:pos="303" w:val="left" w:leader="none"/>
                <w:tab w:pos="1052" w:val="left" w:leader="none"/>
              </w:tabs>
              <w:spacing w:line="184"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10,048</w:t>
            </w:r>
            <w:r>
              <w:rPr>
                <w:color w:val="231F20"/>
                <w:sz w:val="16"/>
                <w:u w:val="single" w:color="231F20"/>
              </w:rPr>
              <w:tab/>
            </w:r>
          </w:p>
        </w:tc>
        <w:tc>
          <w:tcPr>
            <w:tcW w:w="815" w:type="dxa"/>
          </w:tcPr>
          <w:p>
            <w:pPr>
              <w:pStyle w:val="TableParagraph"/>
              <w:rPr>
                <w:rFonts w:ascii="Times New Roman"/>
                <w:sz w:val="14"/>
              </w:rPr>
            </w:pPr>
          </w:p>
        </w:tc>
        <w:tc>
          <w:tcPr>
            <w:tcW w:w="1043" w:type="dxa"/>
          </w:tcPr>
          <w:p>
            <w:pPr>
              <w:pStyle w:val="TableParagraph"/>
              <w:tabs>
                <w:tab w:pos="302" w:val="left" w:leader="none"/>
                <w:tab w:pos="1046" w:val="left" w:leader="none"/>
              </w:tabs>
              <w:spacing w:line="184" w:lineRule="exact"/>
              <w:ind w:left="2"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13,222</w:t>
            </w:r>
            <w:r>
              <w:rPr>
                <w:color w:val="231F20"/>
                <w:sz w:val="16"/>
                <w:u w:val="single" w:color="231F20"/>
              </w:rPr>
              <w:tab/>
            </w:r>
          </w:p>
        </w:tc>
      </w:tr>
      <w:tr>
        <w:trPr>
          <w:trHeight w:val="201" w:hRule="atLeast"/>
        </w:trPr>
        <w:tc>
          <w:tcPr>
            <w:tcW w:w="219" w:type="dxa"/>
          </w:tcPr>
          <w:p>
            <w:pPr>
              <w:pStyle w:val="TableParagraph"/>
              <w:rPr>
                <w:rFonts w:ascii="Times New Roman"/>
                <w:sz w:val="14"/>
              </w:rPr>
            </w:pPr>
          </w:p>
        </w:tc>
        <w:tc>
          <w:tcPr>
            <w:tcW w:w="3162" w:type="dxa"/>
          </w:tcPr>
          <w:p>
            <w:pPr>
              <w:pStyle w:val="TableParagraph"/>
              <w:rPr>
                <w:rFonts w:ascii="Times New Roman"/>
                <w:sz w:val="14"/>
              </w:rPr>
            </w:pPr>
          </w:p>
        </w:tc>
        <w:tc>
          <w:tcPr>
            <w:tcW w:w="1051" w:type="dxa"/>
            <w:tcBorders>
              <w:bottom w:val="single" w:sz="6" w:space="0" w:color="231F20"/>
            </w:tcBorders>
          </w:tcPr>
          <w:p>
            <w:pPr>
              <w:pStyle w:val="TableParagraph"/>
              <w:tabs>
                <w:tab w:pos="303" w:val="left" w:leader="none"/>
                <w:tab w:pos="1052" w:val="left" w:leader="none"/>
              </w:tabs>
              <w:spacing w:line="182" w:lineRule="exact"/>
              <w:ind w:right="-15"/>
              <w:jc w:val="center"/>
              <w:rPr>
                <w:sz w:val="16"/>
              </w:rPr>
            </w:pPr>
            <w:r>
              <w:rPr>
                <w:color w:val="231F20"/>
                <w:w w:val="103"/>
                <w:sz w:val="16"/>
                <w:u w:val="single" w:color="231F20"/>
              </w:rPr>
              <w:t> </w:t>
            </w:r>
            <w:r>
              <w:rPr>
                <w:color w:val="231F20"/>
                <w:sz w:val="16"/>
                <w:u w:val="single" w:color="231F20"/>
              </w:rPr>
              <w:tab/>
            </w:r>
            <w:r>
              <w:rPr>
                <w:color w:val="231F20"/>
                <w:w w:val="105"/>
                <w:sz w:val="16"/>
                <w:u w:val="single" w:color="231F20"/>
              </w:rPr>
              <w:t>39,397</w:t>
            </w:r>
            <w:r>
              <w:rPr>
                <w:color w:val="231F20"/>
                <w:sz w:val="16"/>
                <w:u w:val="single" w:color="231F20"/>
              </w:rPr>
              <w:tab/>
            </w:r>
          </w:p>
        </w:tc>
        <w:tc>
          <w:tcPr>
            <w:tcW w:w="815" w:type="dxa"/>
          </w:tcPr>
          <w:p>
            <w:pPr>
              <w:pStyle w:val="TableParagraph"/>
              <w:rPr>
                <w:rFonts w:ascii="Times New Roman"/>
                <w:sz w:val="14"/>
              </w:rPr>
            </w:pPr>
          </w:p>
        </w:tc>
        <w:tc>
          <w:tcPr>
            <w:tcW w:w="1043" w:type="dxa"/>
            <w:tcBorders>
              <w:bottom w:val="single" w:sz="6" w:space="0" w:color="231F20"/>
            </w:tcBorders>
          </w:tcPr>
          <w:p>
            <w:pPr>
              <w:pStyle w:val="TableParagraph"/>
              <w:spacing w:line="182" w:lineRule="exact"/>
              <w:ind w:left="235" w:right="213"/>
              <w:jc w:val="center"/>
              <w:rPr>
                <w:sz w:val="16"/>
              </w:rPr>
            </w:pPr>
            <w:r>
              <w:rPr>
                <w:color w:val="231F20"/>
                <w:w w:val="105"/>
                <w:sz w:val="16"/>
              </w:rPr>
              <w:t>50,540</w:t>
            </w:r>
          </w:p>
        </w:tc>
      </w:tr>
    </w:tbl>
    <w:p>
      <w:pPr>
        <w:spacing w:after="0" w:line="182" w:lineRule="exact"/>
        <w:jc w:val="center"/>
        <w:rPr>
          <w:sz w:val="16"/>
        </w:rPr>
        <w:sectPr>
          <w:footerReference w:type="default" r:id="rId78"/>
          <w:pgSz w:w="11910" w:h="16840"/>
          <w:pgMar w:footer="524" w:header="0" w:top="960" w:bottom="720" w:left="0" w:right="220"/>
        </w:sectPr>
      </w:pPr>
    </w:p>
    <w:p>
      <w:pPr>
        <w:pStyle w:val="BodyText"/>
        <w:spacing w:before="11"/>
        <w:rPr>
          <w:rFonts w:ascii="Calibri"/>
          <w:b/>
          <w:sz w:val="19"/>
        </w:rPr>
      </w:pPr>
    </w:p>
    <w:p>
      <w:pPr>
        <w:spacing w:before="72"/>
        <w:ind w:left="1916" w:right="1700" w:firstLine="0"/>
        <w:jc w:val="center"/>
        <w:rPr>
          <w:rFonts w:ascii="Calibri"/>
          <w:b/>
          <w:sz w:val="16"/>
        </w:rPr>
      </w:pPr>
      <w:r>
        <w:rPr>
          <w:rFonts w:ascii="Calibri"/>
          <w:b/>
          <w:color w:val="231F20"/>
          <w:w w:val="105"/>
          <w:sz w:val="16"/>
          <w:u w:val="single" w:color="231F20"/>
        </w:rPr>
        <w:t>PEOPLE WITH DISABILITIES (WA) Inc</w:t>
      </w:r>
    </w:p>
    <w:p>
      <w:pPr>
        <w:pStyle w:val="BodyText"/>
        <w:spacing w:before="1"/>
        <w:rPr>
          <w:rFonts w:ascii="Calibri"/>
          <w:b/>
          <w:sz w:val="11"/>
        </w:rPr>
      </w:pPr>
    </w:p>
    <w:p>
      <w:pPr>
        <w:spacing w:line="247" w:lineRule="auto" w:before="72"/>
        <w:ind w:left="4478" w:right="4257" w:firstLine="0"/>
        <w:jc w:val="center"/>
        <w:rPr>
          <w:rFonts w:ascii="Calibri"/>
          <w:b/>
          <w:sz w:val="16"/>
        </w:rPr>
      </w:pPr>
      <w:r>
        <w:rPr>
          <w:rFonts w:ascii="Calibri"/>
          <w:b/>
          <w:color w:val="231F20"/>
          <w:w w:val="105"/>
          <w:sz w:val="16"/>
          <w:u w:val="single" w:color="231F20"/>
        </w:rPr>
        <w:t>Notes to and forming part of the accounts</w:t>
      </w:r>
      <w:r>
        <w:rPr>
          <w:rFonts w:ascii="Calibri"/>
          <w:b/>
          <w:color w:val="231F20"/>
          <w:w w:val="105"/>
          <w:sz w:val="16"/>
        </w:rPr>
        <w:t> </w:t>
      </w:r>
      <w:r>
        <w:rPr>
          <w:rFonts w:ascii="Calibri"/>
          <w:b/>
          <w:color w:val="231F20"/>
          <w:w w:val="105"/>
          <w:sz w:val="16"/>
          <w:u w:val="single" w:color="231F20"/>
        </w:rPr>
        <w:t>For the year ended 30/06/2015</w:t>
      </w:r>
    </w:p>
    <w:p>
      <w:pPr>
        <w:pStyle w:val="BodyText"/>
        <w:spacing w:before="6"/>
        <w:rPr>
          <w:rFonts w:ascii="Calibri"/>
          <w:b/>
          <w:sz w:val="11"/>
        </w:rPr>
      </w:pPr>
    </w:p>
    <w:p>
      <w:pPr>
        <w:tabs>
          <w:tab w:pos="3781" w:val="left" w:leader="none"/>
        </w:tabs>
        <w:spacing w:before="72"/>
        <w:ind w:left="1916" w:right="0" w:firstLine="0"/>
        <w:jc w:val="center"/>
        <w:rPr>
          <w:rFonts w:ascii="Calibri"/>
          <w:b/>
          <w:sz w:val="16"/>
        </w:rPr>
      </w:pPr>
      <w:r>
        <w:rPr>
          <w:rFonts w:ascii="Calibri"/>
          <w:b/>
          <w:color w:val="231F20"/>
          <w:w w:val="105"/>
          <w:sz w:val="16"/>
        </w:rPr>
        <w:t>2015</w:t>
        <w:tab/>
        <w:t>2014</w:t>
      </w:r>
    </w:p>
    <w:p>
      <w:pPr>
        <w:tabs>
          <w:tab w:pos="3779" w:val="left" w:leader="none"/>
        </w:tabs>
        <w:spacing w:before="7"/>
        <w:ind w:left="1916" w:right="0" w:firstLine="0"/>
        <w:jc w:val="center"/>
        <w:rPr>
          <w:rFonts w:ascii="Calibri"/>
          <w:sz w:val="16"/>
        </w:rPr>
      </w:pPr>
      <w:r>
        <w:rPr>
          <w:rFonts w:ascii="Calibri"/>
          <w:color w:val="231F20"/>
          <w:w w:val="105"/>
          <w:sz w:val="16"/>
        </w:rPr>
        <w:t>$</w:t>
        <w:tab/>
        <w:t>$</w:t>
      </w:r>
    </w:p>
    <w:p>
      <w:pPr>
        <w:pStyle w:val="BodyText"/>
        <w:rPr>
          <w:rFonts w:ascii="Calibri"/>
          <w:sz w:val="17"/>
        </w:rPr>
      </w:pPr>
    </w:p>
    <w:p>
      <w:pPr>
        <w:pStyle w:val="ListParagraph"/>
        <w:numPr>
          <w:ilvl w:val="1"/>
          <w:numId w:val="6"/>
        </w:numPr>
        <w:tabs>
          <w:tab w:pos="2259" w:val="left" w:leader="none"/>
        </w:tabs>
        <w:spacing w:line="240" w:lineRule="auto" w:before="0" w:after="0"/>
        <w:ind w:left="2258" w:right="0" w:hanging="254"/>
        <w:jc w:val="left"/>
        <w:rPr>
          <w:rFonts w:ascii="Calibri"/>
          <w:b/>
          <w:sz w:val="16"/>
        </w:rPr>
      </w:pPr>
      <w:r>
        <w:rPr>
          <w:rFonts w:ascii="Calibri"/>
          <w:b/>
          <w:color w:val="231F20"/>
          <w:w w:val="105"/>
          <w:sz w:val="16"/>
        </w:rPr>
        <w:t>Non Operating</w:t>
      </w:r>
      <w:r>
        <w:rPr>
          <w:rFonts w:ascii="Calibri"/>
          <w:b/>
          <w:color w:val="231F20"/>
          <w:spacing w:val="-1"/>
          <w:w w:val="105"/>
          <w:sz w:val="16"/>
        </w:rPr>
        <w:t> </w:t>
      </w:r>
      <w:r>
        <w:rPr>
          <w:rFonts w:ascii="Calibri"/>
          <w:b/>
          <w:color w:val="231F20"/>
          <w:w w:val="105"/>
          <w:sz w:val="16"/>
        </w:rPr>
        <w:t>Income</w:t>
      </w:r>
    </w:p>
    <w:p>
      <w:pPr>
        <w:tabs>
          <w:tab w:pos="5631" w:val="left" w:leader="none"/>
          <w:tab w:pos="7690" w:val="left" w:leader="none"/>
        </w:tabs>
        <w:spacing w:before="6"/>
        <w:ind w:left="2258" w:right="0" w:firstLine="0"/>
        <w:jc w:val="left"/>
        <w:rPr>
          <w:rFonts w:ascii="Calibri"/>
          <w:sz w:val="16"/>
        </w:rPr>
      </w:pPr>
      <w:r>
        <w:rPr>
          <w:rFonts w:ascii="Calibri"/>
          <w:color w:val="231F20"/>
          <w:w w:val="105"/>
          <w:sz w:val="16"/>
        </w:rPr>
        <w:t>Loss on Sale</w:t>
      </w:r>
      <w:r>
        <w:rPr>
          <w:rFonts w:ascii="Calibri"/>
          <w:color w:val="231F20"/>
          <w:spacing w:val="-13"/>
          <w:w w:val="105"/>
          <w:sz w:val="16"/>
        </w:rPr>
        <w:t> </w:t>
      </w:r>
      <w:r>
        <w:rPr>
          <w:rFonts w:ascii="Calibri"/>
          <w:color w:val="231F20"/>
          <w:w w:val="105"/>
          <w:sz w:val="16"/>
        </w:rPr>
        <w:t>of</w:t>
      </w:r>
      <w:r>
        <w:rPr>
          <w:rFonts w:ascii="Calibri"/>
          <w:color w:val="231F20"/>
          <w:spacing w:val="-5"/>
          <w:w w:val="105"/>
          <w:sz w:val="16"/>
        </w:rPr>
        <w:t> </w:t>
      </w:r>
      <w:r>
        <w:rPr>
          <w:rFonts w:ascii="Calibri"/>
          <w:color w:val="231F20"/>
          <w:w w:val="105"/>
          <w:sz w:val="16"/>
        </w:rPr>
        <w:t>Assets</w:t>
        <w:tab/>
        <w:t>(2,097)</w:t>
        <w:tab/>
        <w:t>0</w:t>
      </w:r>
    </w:p>
    <w:p>
      <w:pPr>
        <w:pStyle w:val="BodyText"/>
        <w:spacing w:before="11"/>
        <w:rPr>
          <w:rFonts w:ascii="Calibri"/>
          <w:sz w:val="12"/>
        </w:rPr>
      </w:pPr>
      <w:r>
        <w:rPr/>
        <w:pict>
          <v:line style="position:absolute;mso-position-horizontal-relative:page;mso-position-vertical-relative:paragraph;z-index:3064;mso-wrap-distance-left:0;mso-wrap-distance-right:0" from="266.809998pt,10.236297pt" to="319.392998pt,10.236297pt" stroked="true" strokeweight=".72pt" strokecolor="#231f20">
            <v:stroke dashstyle="solid"/>
            <w10:wrap type="topAndBottom"/>
          </v:line>
        </w:pict>
      </w:r>
      <w:r>
        <w:rPr/>
        <w:pict>
          <v:line style="position:absolute;mso-position-horizontal-relative:page;mso-position-vertical-relative:paragraph;z-index:3088;mso-wrap-distance-left:0;mso-wrap-distance-right:0" from="360.190002pt,10.236297pt" to="412.390002pt,10.236297pt" stroked="true" strokeweight=".72pt" strokecolor="#231f20">
            <v:stroke dashstyle="solid"/>
            <w10:wrap type="topAndBottom"/>
          </v:line>
        </w:pict>
      </w:r>
    </w:p>
    <w:p>
      <w:pPr>
        <w:tabs>
          <w:tab w:pos="1719" w:val="left" w:leader="none"/>
          <w:tab w:pos="2476" w:val="left" w:leader="none"/>
          <w:tab w:pos="3779" w:val="left" w:leader="none"/>
        </w:tabs>
        <w:spacing w:before="0"/>
        <w:ind w:left="1424" w:right="0" w:firstLine="0"/>
        <w:jc w:val="center"/>
        <w:rPr>
          <w:rFonts w:ascii="Calibri"/>
          <w:sz w:val="16"/>
        </w:rPr>
      </w:pPr>
      <w:r>
        <w:rPr>
          <w:rFonts w:ascii="Calibri"/>
          <w:color w:val="231F20"/>
          <w:w w:val="103"/>
          <w:sz w:val="16"/>
          <w:u w:val="single" w:color="231F20"/>
        </w:rPr>
        <w:t> </w:t>
      </w:r>
      <w:r>
        <w:rPr>
          <w:rFonts w:ascii="Calibri"/>
          <w:color w:val="231F20"/>
          <w:sz w:val="16"/>
          <w:u w:val="single" w:color="231F20"/>
        </w:rPr>
        <w:tab/>
      </w:r>
      <w:r>
        <w:rPr>
          <w:rFonts w:ascii="Calibri"/>
          <w:color w:val="231F20"/>
          <w:w w:val="105"/>
          <w:sz w:val="16"/>
          <w:u w:val="single" w:color="231F20"/>
        </w:rPr>
        <w:t>(2,097)</w:t>
        <w:tab/>
      </w:r>
      <w:r>
        <w:rPr>
          <w:rFonts w:ascii="Calibri"/>
          <w:color w:val="231F20"/>
          <w:w w:val="105"/>
          <w:sz w:val="16"/>
        </w:rPr>
        <w:tab/>
        <w:t>0</w:t>
      </w:r>
    </w:p>
    <w:p>
      <w:pPr>
        <w:tabs>
          <w:tab w:pos="7195" w:val="left" w:leader="none"/>
        </w:tabs>
        <w:spacing w:line="44" w:lineRule="exact"/>
        <w:ind w:left="5328" w:right="0" w:firstLine="0"/>
        <w:rPr>
          <w:rFonts w:ascii="Calibri"/>
          <w:sz w:val="4"/>
        </w:rPr>
      </w:pPr>
      <w:r>
        <w:rPr>
          <w:rFonts w:ascii="Calibri"/>
          <w:position w:val="0"/>
          <w:sz w:val="2"/>
        </w:rPr>
        <w:pict>
          <v:group style="width:52.6pt;height:.75pt;mso-position-horizontal-relative:char;mso-position-vertical-relative:line" coordorigin="0,0" coordsize="1052,15">
            <v:line style="position:absolute" from="0,7" to="1052,7" stroked="true" strokeweight=".72pt" strokecolor="#231f20">
              <v:stroke dashstyle="solid"/>
            </v:line>
          </v:group>
        </w:pict>
      </w:r>
      <w:r>
        <w:rPr>
          <w:rFonts w:ascii="Calibri"/>
          <w:position w:val="0"/>
          <w:sz w:val="2"/>
        </w:rPr>
      </w:r>
      <w:r>
        <w:rPr>
          <w:rFonts w:ascii="Calibri"/>
          <w:position w:val="0"/>
          <w:sz w:val="2"/>
        </w:rPr>
        <w:tab/>
      </w:r>
      <w:r>
        <w:rPr>
          <w:rFonts w:ascii="Calibri"/>
          <w:position w:val="0"/>
          <w:sz w:val="4"/>
        </w:rPr>
        <w:pict>
          <v:group style="width:52.2pt;height:2.2pt;mso-position-horizontal-relative:char;mso-position-vertical-relative:line" coordorigin="0,0" coordsize="1044,44">
            <v:line style="position:absolute" from="0,7" to="1044,7" stroked="true" strokeweight=".72pt" strokecolor="#231f20">
              <v:stroke dashstyle="solid"/>
            </v:line>
            <v:line style="position:absolute" from="0,36" to="1044,36" stroked="true" strokeweight=".72pt" strokecolor="#231f20">
              <v:stroke dashstyle="solid"/>
            </v:line>
          </v:group>
        </w:pict>
      </w:r>
      <w:r>
        <w:rPr>
          <w:rFonts w:ascii="Calibri"/>
          <w:position w:val="0"/>
          <w:sz w:val="4"/>
        </w:rPr>
      </w:r>
    </w:p>
    <w:p>
      <w:pPr>
        <w:pStyle w:val="BodyText"/>
        <w:spacing w:before="7"/>
        <w:rPr>
          <w:rFonts w:ascii="Calibri"/>
          <w:sz w:val="14"/>
        </w:rPr>
      </w:pPr>
    </w:p>
    <w:p>
      <w:pPr>
        <w:pStyle w:val="ListParagraph"/>
        <w:numPr>
          <w:ilvl w:val="1"/>
          <w:numId w:val="6"/>
        </w:numPr>
        <w:tabs>
          <w:tab w:pos="2259" w:val="left" w:leader="none"/>
        </w:tabs>
        <w:spacing w:line="240" w:lineRule="auto" w:before="0" w:after="0"/>
        <w:ind w:left="2258" w:right="0" w:hanging="254"/>
        <w:jc w:val="left"/>
        <w:rPr>
          <w:rFonts w:ascii="Calibri"/>
          <w:b/>
          <w:sz w:val="16"/>
        </w:rPr>
      </w:pPr>
      <w:r>
        <w:rPr>
          <w:rFonts w:ascii="Calibri"/>
          <w:b/>
          <w:color w:val="231F20"/>
          <w:w w:val="105"/>
          <w:sz w:val="16"/>
        </w:rPr>
        <w:t>Related Party Disclosure</w:t>
      </w:r>
    </w:p>
    <w:p>
      <w:pPr>
        <w:tabs>
          <w:tab w:pos="7234" w:val="left" w:leader="none"/>
        </w:tabs>
        <w:spacing w:line="404" w:lineRule="exact" w:before="37"/>
        <w:ind w:left="2258" w:right="3735" w:firstLine="0"/>
        <w:jc w:val="left"/>
        <w:rPr>
          <w:rFonts w:ascii="Calibri"/>
          <w:sz w:val="16"/>
        </w:rPr>
      </w:pPr>
      <w:r>
        <w:rPr>
          <w:rFonts w:ascii="Calibri"/>
          <w:color w:val="231F20"/>
          <w:w w:val="105"/>
          <w:sz w:val="16"/>
        </w:rPr>
        <w:t>The</w:t>
      </w:r>
      <w:r>
        <w:rPr>
          <w:rFonts w:ascii="Calibri"/>
          <w:color w:val="231F20"/>
          <w:spacing w:val="-7"/>
          <w:w w:val="105"/>
          <w:sz w:val="16"/>
        </w:rPr>
        <w:t> </w:t>
      </w:r>
      <w:r>
        <w:rPr>
          <w:rFonts w:ascii="Calibri"/>
          <w:color w:val="231F20"/>
          <w:w w:val="105"/>
          <w:sz w:val="16"/>
        </w:rPr>
        <w:t>members</w:t>
      </w:r>
      <w:r>
        <w:rPr>
          <w:rFonts w:ascii="Calibri"/>
          <w:color w:val="231F20"/>
          <w:spacing w:val="-6"/>
          <w:w w:val="105"/>
          <w:sz w:val="16"/>
        </w:rPr>
        <w:t> </w:t>
      </w:r>
      <w:r>
        <w:rPr>
          <w:rFonts w:ascii="Calibri"/>
          <w:color w:val="231F20"/>
          <w:w w:val="105"/>
          <w:sz w:val="16"/>
        </w:rPr>
        <w:t>of</w:t>
      </w:r>
      <w:r>
        <w:rPr>
          <w:rFonts w:ascii="Calibri"/>
          <w:color w:val="231F20"/>
          <w:spacing w:val="-7"/>
          <w:w w:val="105"/>
          <w:sz w:val="16"/>
        </w:rPr>
        <w:t> </w:t>
      </w:r>
      <w:r>
        <w:rPr>
          <w:rFonts w:ascii="Calibri"/>
          <w:color w:val="231F20"/>
          <w:w w:val="105"/>
          <w:sz w:val="16"/>
        </w:rPr>
        <w:t>the</w:t>
      </w:r>
      <w:r>
        <w:rPr>
          <w:rFonts w:ascii="Calibri"/>
          <w:color w:val="231F20"/>
          <w:spacing w:val="-7"/>
          <w:w w:val="105"/>
          <w:sz w:val="16"/>
        </w:rPr>
        <w:t> </w:t>
      </w:r>
      <w:r>
        <w:rPr>
          <w:rFonts w:ascii="Calibri"/>
          <w:color w:val="231F20"/>
          <w:w w:val="105"/>
          <w:sz w:val="16"/>
        </w:rPr>
        <w:t>Committee</w:t>
      </w:r>
      <w:r>
        <w:rPr>
          <w:rFonts w:ascii="Calibri"/>
          <w:color w:val="231F20"/>
          <w:spacing w:val="-7"/>
          <w:w w:val="105"/>
          <w:sz w:val="16"/>
        </w:rPr>
        <w:t> </w:t>
      </w:r>
      <w:r>
        <w:rPr>
          <w:rFonts w:ascii="Calibri"/>
          <w:color w:val="231F20"/>
          <w:w w:val="105"/>
          <w:sz w:val="16"/>
        </w:rPr>
        <w:t>of</w:t>
      </w:r>
      <w:r>
        <w:rPr>
          <w:rFonts w:ascii="Calibri"/>
          <w:color w:val="231F20"/>
          <w:spacing w:val="-7"/>
          <w:w w:val="105"/>
          <w:sz w:val="16"/>
        </w:rPr>
        <w:t> </w:t>
      </w:r>
      <w:r>
        <w:rPr>
          <w:rFonts w:ascii="Calibri"/>
          <w:color w:val="231F20"/>
          <w:w w:val="105"/>
          <w:sz w:val="16"/>
        </w:rPr>
        <w:t>Management</w:t>
      </w:r>
      <w:r>
        <w:rPr>
          <w:rFonts w:ascii="Calibri"/>
          <w:color w:val="231F20"/>
          <w:spacing w:val="-7"/>
          <w:w w:val="105"/>
          <w:sz w:val="16"/>
        </w:rPr>
        <w:t> </w:t>
      </w:r>
      <w:r>
        <w:rPr>
          <w:rFonts w:ascii="Calibri"/>
          <w:color w:val="231F20"/>
          <w:w w:val="105"/>
          <w:sz w:val="16"/>
        </w:rPr>
        <w:t>during</w:t>
      </w:r>
      <w:r>
        <w:rPr>
          <w:rFonts w:ascii="Calibri"/>
          <w:color w:val="231F20"/>
          <w:spacing w:val="-8"/>
          <w:w w:val="105"/>
          <w:sz w:val="16"/>
        </w:rPr>
        <w:t> </w:t>
      </w:r>
      <w:r>
        <w:rPr>
          <w:rFonts w:ascii="Calibri"/>
          <w:color w:val="231F20"/>
          <w:w w:val="105"/>
          <w:sz w:val="16"/>
        </w:rPr>
        <w:t>the  </w:t>
      </w:r>
      <w:r>
        <w:rPr>
          <w:rFonts w:ascii="Calibri"/>
          <w:color w:val="231F20"/>
          <w:spacing w:val="22"/>
          <w:w w:val="105"/>
          <w:sz w:val="16"/>
        </w:rPr>
        <w:t> </w:t>
      </w:r>
      <w:r>
        <w:rPr>
          <w:rFonts w:ascii="Calibri"/>
          <w:color w:val="231F20"/>
          <w:w w:val="105"/>
          <w:sz w:val="16"/>
        </w:rPr>
        <w:t>2014/15</w:t>
        <w:tab/>
        <w:t>year</w:t>
      </w:r>
      <w:r>
        <w:rPr>
          <w:rFonts w:ascii="Calibri"/>
          <w:color w:val="231F20"/>
          <w:spacing w:val="-13"/>
          <w:w w:val="105"/>
          <w:sz w:val="16"/>
        </w:rPr>
        <w:t> </w:t>
      </w:r>
      <w:r>
        <w:rPr>
          <w:rFonts w:ascii="Calibri"/>
          <w:color w:val="231F20"/>
          <w:w w:val="105"/>
          <w:sz w:val="16"/>
        </w:rPr>
        <w:t>were; Greg Madson</w:t>
      </w:r>
      <w:r>
        <w:rPr>
          <w:rFonts w:ascii="Calibri"/>
          <w:color w:val="231F20"/>
          <w:spacing w:val="-4"/>
          <w:w w:val="105"/>
          <w:sz w:val="16"/>
        </w:rPr>
        <w:t> </w:t>
      </w:r>
      <w:r>
        <w:rPr>
          <w:rFonts w:ascii="Calibri"/>
          <w:color w:val="231F20"/>
          <w:w w:val="105"/>
          <w:sz w:val="16"/>
        </w:rPr>
        <w:t>(President)</w:t>
      </w:r>
    </w:p>
    <w:p>
      <w:pPr>
        <w:spacing w:line="164" w:lineRule="exact" w:before="0"/>
        <w:ind w:left="2258" w:right="0" w:firstLine="0"/>
        <w:jc w:val="left"/>
        <w:rPr>
          <w:rFonts w:ascii="Calibri"/>
          <w:sz w:val="16"/>
        </w:rPr>
      </w:pPr>
      <w:r>
        <w:rPr>
          <w:rFonts w:ascii="Calibri"/>
          <w:color w:val="231F20"/>
          <w:w w:val="105"/>
          <w:sz w:val="16"/>
        </w:rPr>
        <w:t>Kerrie Duff (Vice President)</w:t>
      </w:r>
    </w:p>
    <w:p>
      <w:pPr>
        <w:spacing w:line="247" w:lineRule="auto" w:before="6"/>
        <w:ind w:left="2258" w:right="7542" w:firstLine="0"/>
        <w:jc w:val="both"/>
        <w:rPr>
          <w:rFonts w:ascii="Calibri"/>
          <w:sz w:val="16"/>
        </w:rPr>
      </w:pPr>
      <w:r>
        <w:rPr>
          <w:rFonts w:ascii="Calibri"/>
          <w:color w:val="231F20"/>
          <w:w w:val="105"/>
          <w:sz w:val="16"/>
        </w:rPr>
        <w:t>Mallika</w:t>
      </w:r>
      <w:r>
        <w:rPr>
          <w:rFonts w:ascii="Calibri"/>
          <w:color w:val="231F20"/>
          <w:spacing w:val="-17"/>
          <w:w w:val="105"/>
          <w:sz w:val="16"/>
        </w:rPr>
        <w:t> </w:t>
      </w:r>
      <w:r>
        <w:rPr>
          <w:rFonts w:ascii="Calibri"/>
          <w:color w:val="231F20"/>
          <w:w w:val="105"/>
          <w:sz w:val="16"/>
        </w:rPr>
        <w:t>Macleod</w:t>
      </w:r>
      <w:r>
        <w:rPr>
          <w:rFonts w:ascii="Calibri"/>
          <w:color w:val="231F20"/>
          <w:spacing w:val="-17"/>
          <w:w w:val="105"/>
          <w:sz w:val="16"/>
        </w:rPr>
        <w:t> </w:t>
      </w:r>
      <w:r>
        <w:rPr>
          <w:rFonts w:ascii="Calibri"/>
          <w:color w:val="231F20"/>
          <w:w w:val="105"/>
          <w:sz w:val="16"/>
        </w:rPr>
        <w:t>(Secretary) Monica McGhie (Treasurer) Kelly-Anne</w:t>
      </w:r>
      <w:r>
        <w:rPr>
          <w:rFonts w:ascii="Calibri"/>
          <w:color w:val="231F20"/>
          <w:spacing w:val="-2"/>
          <w:w w:val="105"/>
          <w:sz w:val="16"/>
        </w:rPr>
        <w:t> </w:t>
      </w:r>
      <w:r>
        <w:rPr>
          <w:rFonts w:ascii="Calibri"/>
          <w:color w:val="231F20"/>
          <w:w w:val="105"/>
          <w:sz w:val="16"/>
        </w:rPr>
        <w:t>Blanch</w:t>
      </w:r>
    </w:p>
    <w:p>
      <w:pPr>
        <w:spacing w:line="247" w:lineRule="auto" w:before="2"/>
        <w:ind w:left="2258" w:right="7961" w:firstLine="0"/>
        <w:jc w:val="left"/>
        <w:rPr>
          <w:rFonts w:ascii="Calibri"/>
          <w:sz w:val="16"/>
        </w:rPr>
      </w:pPr>
      <w:r>
        <w:rPr>
          <w:rFonts w:ascii="Calibri"/>
          <w:color w:val="231F20"/>
          <w:w w:val="105"/>
          <w:sz w:val="16"/>
        </w:rPr>
        <w:t>Jordon Steele-John Ryan Gay</w:t>
      </w:r>
    </w:p>
    <w:p>
      <w:pPr>
        <w:pStyle w:val="BodyText"/>
        <w:rPr>
          <w:rFonts w:ascii="Calibri"/>
          <w:sz w:val="16"/>
        </w:rPr>
      </w:pPr>
    </w:p>
    <w:p>
      <w:pPr>
        <w:pStyle w:val="BodyText"/>
        <w:spacing w:before="1"/>
        <w:rPr>
          <w:rFonts w:ascii="Calibri"/>
          <w:sz w:val="14"/>
        </w:rPr>
      </w:pPr>
    </w:p>
    <w:p>
      <w:pPr>
        <w:spacing w:line="436" w:lineRule="auto" w:before="1"/>
        <w:ind w:left="2258" w:right="6513" w:firstLine="0"/>
        <w:jc w:val="left"/>
        <w:rPr>
          <w:rFonts w:ascii="Calibri"/>
          <w:sz w:val="16"/>
        </w:rPr>
      </w:pPr>
      <w:r>
        <w:rPr>
          <w:rFonts w:ascii="Calibri"/>
          <w:color w:val="231F20"/>
          <w:w w:val="105"/>
          <w:sz w:val="16"/>
        </w:rPr>
        <w:t>Samantha Jenkinson (non-voting member) Erika Webb (Secretarial support)</w:t>
      </w:r>
    </w:p>
    <w:p>
      <w:pPr>
        <w:pStyle w:val="ListParagraph"/>
        <w:numPr>
          <w:ilvl w:val="1"/>
          <w:numId w:val="6"/>
        </w:numPr>
        <w:tabs>
          <w:tab w:pos="2259" w:val="left" w:leader="none"/>
        </w:tabs>
        <w:spacing w:line="195" w:lineRule="exact" w:before="0" w:after="0"/>
        <w:ind w:left="2258" w:right="0" w:hanging="254"/>
        <w:jc w:val="left"/>
        <w:rPr>
          <w:rFonts w:ascii="Calibri"/>
          <w:b/>
          <w:sz w:val="16"/>
        </w:rPr>
      </w:pPr>
      <w:r>
        <w:rPr>
          <w:rFonts w:ascii="Calibri"/>
          <w:b/>
          <w:color w:val="231F20"/>
          <w:w w:val="105"/>
          <w:sz w:val="16"/>
        </w:rPr>
        <w:t>Superannuation</w:t>
      </w:r>
    </w:p>
    <w:p>
      <w:pPr>
        <w:pStyle w:val="BodyText"/>
        <w:rPr>
          <w:rFonts w:ascii="Calibri"/>
          <w:b/>
          <w:sz w:val="16"/>
        </w:rPr>
      </w:pPr>
    </w:p>
    <w:p>
      <w:pPr>
        <w:spacing w:line="247" w:lineRule="auto" w:before="0"/>
        <w:ind w:left="2258" w:right="3512" w:firstLine="0"/>
        <w:jc w:val="left"/>
        <w:rPr>
          <w:rFonts w:ascii="Calibri"/>
          <w:sz w:val="16"/>
        </w:rPr>
      </w:pPr>
      <w:r>
        <w:rPr>
          <w:rFonts w:ascii="Calibri"/>
          <w:color w:val="231F20"/>
          <w:w w:val="105"/>
          <w:sz w:val="16"/>
        </w:rPr>
        <w:t>The</w:t>
      </w:r>
      <w:r>
        <w:rPr>
          <w:rFonts w:ascii="Calibri"/>
          <w:color w:val="231F20"/>
          <w:spacing w:val="-12"/>
          <w:w w:val="105"/>
          <w:sz w:val="16"/>
        </w:rPr>
        <w:t> </w:t>
      </w:r>
      <w:r>
        <w:rPr>
          <w:rFonts w:ascii="Calibri"/>
          <w:color w:val="231F20"/>
          <w:w w:val="105"/>
          <w:sz w:val="16"/>
        </w:rPr>
        <w:t>Association</w:t>
      </w:r>
      <w:r>
        <w:rPr>
          <w:rFonts w:ascii="Calibri"/>
          <w:color w:val="231F20"/>
          <w:spacing w:val="-12"/>
          <w:w w:val="105"/>
          <w:sz w:val="16"/>
        </w:rPr>
        <w:t> </w:t>
      </w:r>
      <w:r>
        <w:rPr>
          <w:rFonts w:ascii="Calibri"/>
          <w:color w:val="231F20"/>
          <w:w w:val="105"/>
          <w:sz w:val="16"/>
        </w:rPr>
        <w:t>sponsors</w:t>
      </w:r>
      <w:r>
        <w:rPr>
          <w:rFonts w:ascii="Calibri"/>
          <w:color w:val="231F20"/>
          <w:spacing w:val="-12"/>
          <w:w w:val="105"/>
          <w:sz w:val="16"/>
        </w:rPr>
        <w:t> </w:t>
      </w:r>
      <w:r>
        <w:rPr>
          <w:rFonts w:ascii="Calibri"/>
          <w:color w:val="231F20"/>
          <w:w w:val="105"/>
          <w:sz w:val="16"/>
        </w:rPr>
        <w:t>the</w:t>
      </w:r>
      <w:r>
        <w:rPr>
          <w:rFonts w:ascii="Calibri"/>
          <w:color w:val="231F20"/>
          <w:spacing w:val="-12"/>
          <w:w w:val="105"/>
          <w:sz w:val="16"/>
        </w:rPr>
        <w:t> </w:t>
      </w:r>
      <w:r>
        <w:rPr>
          <w:rFonts w:ascii="Calibri"/>
          <w:color w:val="231F20"/>
          <w:w w:val="105"/>
          <w:sz w:val="16"/>
        </w:rPr>
        <w:t>following</w:t>
      </w:r>
      <w:r>
        <w:rPr>
          <w:rFonts w:ascii="Calibri"/>
          <w:color w:val="231F20"/>
          <w:spacing w:val="-13"/>
          <w:w w:val="105"/>
          <w:sz w:val="16"/>
        </w:rPr>
        <w:t> </w:t>
      </w:r>
      <w:r>
        <w:rPr>
          <w:rFonts w:ascii="Calibri"/>
          <w:color w:val="231F20"/>
          <w:w w:val="105"/>
          <w:sz w:val="16"/>
        </w:rPr>
        <w:t>superannuation</w:t>
      </w:r>
      <w:r>
        <w:rPr>
          <w:rFonts w:ascii="Calibri"/>
          <w:color w:val="231F20"/>
          <w:spacing w:val="-12"/>
          <w:w w:val="105"/>
          <w:sz w:val="16"/>
        </w:rPr>
        <w:t> </w:t>
      </w:r>
      <w:r>
        <w:rPr>
          <w:rFonts w:ascii="Calibri"/>
          <w:color w:val="231F20"/>
          <w:w w:val="105"/>
          <w:sz w:val="16"/>
        </w:rPr>
        <w:t>plan</w:t>
      </w:r>
      <w:r>
        <w:rPr>
          <w:rFonts w:ascii="Calibri"/>
          <w:color w:val="231F20"/>
          <w:spacing w:val="-12"/>
          <w:w w:val="105"/>
          <w:sz w:val="16"/>
        </w:rPr>
        <w:t> </w:t>
      </w:r>
      <w:r>
        <w:rPr>
          <w:rFonts w:ascii="Calibri"/>
          <w:color w:val="231F20"/>
          <w:w w:val="105"/>
          <w:sz w:val="16"/>
        </w:rPr>
        <w:t>for</w:t>
      </w:r>
      <w:r>
        <w:rPr>
          <w:rFonts w:ascii="Calibri"/>
          <w:color w:val="231F20"/>
          <w:spacing w:val="-12"/>
          <w:w w:val="105"/>
          <w:sz w:val="16"/>
        </w:rPr>
        <w:t> </w:t>
      </w:r>
      <w:r>
        <w:rPr>
          <w:rFonts w:ascii="Calibri"/>
          <w:color w:val="231F20"/>
          <w:w w:val="105"/>
          <w:sz w:val="16"/>
        </w:rPr>
        <w:t>employees,</w:t>
      </w:r>
      <w:r>
        <w:rPr>
          <w:rFonts w:ascii="Calibri"/>
          <w:color w:val="231F20"/>
          <w:spacing w:val="-12"/>
          <w:w w:val="105"/>
          <w:sz w:val="16"/>
        </w:rPr>
        <w:t> </w:t>
      </w:r>
      <w:r>
        <w:rPr>
          <w:rFonts w:ascii="Calibri"/>
          <w:color w:val="231F20"/>
          <w:w w:val="105"/>
          <w:sz w:val="16"/>
        </w:rPr>
        <w:t>the</w:t>
      </w:r>
      <w:r>
        <w:rPr>
          <w:rFonts w:ascii="Calibri"/>
          <w:color w:val="231F20"/>
          <w:spacing w:val="-12"/>
          <w:w w:val="105"/>
          <w:sz w:val="16"/>
        </w:rPr>
        <w:t> </w:t>
      </w:r>
      <w:r>
        <w:rPr>
          <w:rFonts w:ascii="Calibri"/>
          <w:color w:val="231F20"/>
          <w:w w:val="105"/>
          <w:sz w:val="16"/>
        </w:rPr>
        <w:t>details of which are set out</w:t>
      </w:r>
      <w:r>
        <w:rPr>
          <w:rFonts w:ascii="Calibri"/>
          <w:color w:val="231F20"/>
          <w:spacing w:val="-7"/>
          <w:w w:val="105"/>
          <w:sz w:val="16"/>
        </w:rPr>
        <w:t> </w:t>
      </w:r>
      <w:r>
        <w:rPr>
          <w:rFonts w:ascii="Calibri"/>
          <w:color w:val="231F20"/>
          <w:w w:val="105"/>
          <w:sz w:val="16"/>
        </w:rPr>
        <w:t>below:</w:t>
      </w:r>
    </w:p>
    <w:p>
      <w:pPr>
        <w:pStyle w:val="BodyText"/>
        <w:spacing w:before="7"/>
        <w:rPr>
          <w:rFonts w:ascii="Calibri"/>
          <w:sz w:val="16"/>
        </w:rPr>
      </w:pPr>
    </w:p>
    <w:p>
      <w:pPr>
        <w:spacing w:before="1"/>
        <w:ind w:left="2258" w:right="0" w:firstLine="0"/>
        <w:jc w:val="left"/>
        <w:rPr>
          <w:rFonts w:ascii="Calibri"/>
          <w:b/>
          <w:sz w:val="16"/>
        </w:rPr>
      </w:pPr>
      <w:r>
        <w:rPr>
          <w:rFonts w:ascii="Calibri"/>
          <w:b/>
          <w:color w:val="231F20"/>
          <w:w w:val="105"/>
          <w:sz w:val="16"/>
        </w:rPr>
        <w:t>Funds Vary based on personal choice.</w:t>
      </w:r>
    </w:p>
    <w:p>
      <w:pPr>
        <w:pStyle w:val="BodyText"/>
        <w:rPr>
          <w:rFonts w:ascii="Calibri"/>
          <w:b/>
          <w:sz w:val="17"/>
        </w:rPr>
      </w:pPr>
    </w:p>
    <w:p>
      <w:pPr>
        <w:tabs>
          <w:tab w:pos="3840" w:val="left" w:leader="none"/>
        </w:tabs>
        <w:spacing w:before="0"/>
        <w:ind w:left="2258" w:right="0" w:firstLine="0"/>
        <w:jc w:val="left"/>
        <w:rPr>
          <w:rFonts w:ascii="Calibri"/>
          <w:sz w:val="16"/>
        </w:rPr>
      </w:pPr>
      <w:r>
        <w:rPr>
          <w:rFonts w:ascii="Calibri"/>
          <w:color w:val="231F20"/>
          <w:w w:val="105"/>
          <w:sz w:val="16"/>
        </w:rPr>
        <w:t>Type</w:t>
      </w:r>
      <w:r>
        <w:rPr>
          <w:rFonts w:ascii="Calibri"/>
          <w:color w:val="231F20"/>
          <w:spacing w:val="-6"/>
          <w:w w:val="105"/>
          <w:sz w:val="16"/>
        </w:rPr>
        <w:t> </w:t>
      </w:r>
      <w:r>
        <w:rPr>
          <w:rFonts w:ascii="Calibri"/>
          <w:color w:val="231F20"/>
          <w:w w:val="105"/>
          <w:sz w:val="16"/>
        </w:rPr>
        <w:t>of</w:t>
      </w:r>
      <w:r>
        <w:rPr>
          <w:rFonts w:ascii="Calibri"/>
          <w:color w:val="231F20"/>
          <w:spacing w:val="-6"/>
          <w:w w:val="105"/>
          <w:sz w:val="16"/>
        </w:rPr>
        <w:t> </w:t>
      </w:r>
      <w:r>
        <w:rPr>
          <w:rFonts w:ascii="Calibri"/>
          <w:color w:val="231F20"/>
          <w:w w:val="105"/>
          <w:sz w:val="16"/>
        </w:rPr>
        <w:t>Benefits</w:t>
        <w:tab/>
        <w:t>Accumulation of contributions of employee and</w:t>
      </w:r>
      <w:r>
        <w:rPr>
          <w:rFonts w:ascii="Calibri"/>
          <w:color w:val="231F20"/>
          <w:spacing w:val="-9"/>
          <w:w w:val="105"/>
          <w:sz w:val="16"/>
        </w:rPr>
        <w:t> </w:t>
      </w:r>
      <w:r>
        <w:rPr>
          <w:rFonts w:ascii="Calibri"/>
          <w:color w:val="231F20"/>
          <w:w w:val="105"/>
          <w:sz w:val="16"/>
        </w:rPr>
        <w:t>employer.</w:t>
      </w:r>
    </w:p>
    <w:p>
      <w:pPr>
        <w:spacing w:line="247" w:lineRule="auto" w:before="6"/>
        <w:ind w:left="3841" w:right="3347" w:firstLine="0"/>
        <w:jc w:val="left"/>
        <w:rPr>
          <w:rFonts w:ascii="Calibri"/>
          <w:sz w:val="16"/>
        </w:rPr>
      </w:pPr>
      <w:r>
        <w:rPr>
          <w:rFonts w:ascii="Calibri"/>
          <w:color w:val="231F20"/>
          <w:w w:val="105"/>
          <w:sz w:val="16"/>
        </w:rPr>
        <w:t>Covering all employees earning in excess of $450 per calendar month and providing benefits on retirement, death or permanent disability.</w:t>
      </w:r>
    </w:p>
    <w:p>
      <w:pPr>
        <w:pStyle w:val="BodyText"/>
        <w:spacing w:before="8"/>
        <w:rPr>
          <w:rFonts w:ascii="Calibri"/>
          <w:sz w:val="16"/>
        </w:rPr>
      </w:pPr>
    </w:p>
    <w:p>
      <w:pPr>
        <w:spacing w:before="0"/>
        <w:ind w:left="2258" w:right="0" w:firstLine="0"/>
        <w:jc w:val="left"/>
        <w:rPr>
          <w:rFonts w:ascii="Calibri"/>
          <w:sz w:val="16"/>
        </w:rPr>
      </w:pPr>
      <w:r>
        <w:rPr>
          <w:rFonts w:ascii="Calibri"/>
          <w:color w:val="231F20"/>
          <w:w w:val="105"/>
          <w:sz w:val="16"/>
        </w:rPr>
        <w:t>Contributions by :</w:t>
      </w:r>
    </w:p>
    <w:p>
      <w:pPr>
        <w:pStyle w:val="BodyText"/>
        <w:rPr>
          <w:rFonts w:ascii="Calibri"/>
          <w:sz w:val="17"/>
        </w:rPr>
      </w:pPr>
    </w:p>
    <w:p>
      <w:pPr>
        <w:tabs>
          <w:tab w:pos="3840" w:val="left" w:leader="none"/>
        </w:tabs>
        <w:spacing w:before="0"/>
        <w:ind w:left="2258" w:right="0" w:firstLine="0"/>
        <w:jc w:val="left"/>
        <w:rPr>
          <w:rFonts w:ascii="Calibri"/>
          <w:sz w:val="16"/>
        </w:rPr>
      </w:pPr>
      <w:r>
        <w:rPr>
          <w:rFonts w:ascii="Calibri"/>
          <w:color w:val="231F20"/>
          <w:w w:val="105"/>
          <w:sz w:val="16"/>
        </w:rPr>
        <w:t>Employee</w:t>
        <w:tab/>
        <w:t>Nil to Unlimited based on personal</w:t>
      </w:r>
      <w:r>
        <w:rPr>
          <w:rFonts w:ascii="Calibri"/>
          <w:color w:val="231F20"/>
          <w:spacing w:val="-7"/>
          <w:w w:val="105"/>
          <w:sz w:val="16"/>
        </w:rPr>
        <w:t> </w:t>
      </w:r>
      <w:r>
        <w:rPr>
          <w:rFonts w:ascii="Calibri"/>
          <w:color w:val="231F20"/>
          <w:w w:val="105"/>
          <w:sz w:val="16"/>
        </w:rPr>
        <w:t>choice</w:t>
      </w:r>
    </w:p>
    <w:p>
      <w:pPr>
        <w:pStyle w:val="BodyText"/>
        <w:rPr>
          <w:rFonts w:ascii="Calibri"/>
          <w:sz w:val="17"/>
        </w:rPr>
      </w:pPr>
    </w:p>
    <w:p>
      <w:pPr>
        <w:tabs>
          <w:tab w:pos="3840" w:val="left" w:leader="none"/>
        </w:tabs>
        <w:spacing w:before="1"/>
        <w:ind w:left="2258" w:right="0" w:firstLine="0"/>
        <w:jc w:val="left"/>
        <w:rPr>
          <w:rFonts w:ascii="Calibri"/>
          <w:sz w:val="16"/>
        </w:rPr>
      </w:pPr>
      <w:r>
        <w:rPr>
          <w:rFonts w:ascii="Calibri"/>
          <w:color w:val="231F20"/>
          <w:w w:val="105"/>
          <w:sz w:val="16"/>
        </w:rPr>
        <w:t>Employer</w:t>
        <w:tab/>
        <w:t>9.5% based on Government</w:t>
      </w:r>
      <w:r>
        <w:rPr>
          <w:rFonts w:ascii="Calibri"/>
          <w:color w:val="231F20"/>
          <w:spacing w:val="-5"/>
          <w:w w:val="105"/>
          <w:sz w:val="16"/>
        </w:rPr>
        <w:t> </w:t>
      </w:r>
      <w:r>
        <w:rPr>
          <w:rFonts w:ascii="Calibri"/>
          <w:color w:val="231F20"/>
          <w:w w:val="105"/>
          <w:sz w:val="16"/>
        </w:rPr>
        <w:t>Legislation.</w:t>
      </w:r>
    </w:p>
    <w:p>
      <w:pPr>
        <w:spacing w:line="247" w:lineRule="auto" w:before="6"/>
        <w:ind w:left="3841" w:right="3270" w:firstLine="0"/>
        <w:jc w:val="left"/>
        <w:rPr>
          <w:rFonts w:ascii="Calibri"/>
          <w:sz w:val="16"/>
        </w:rPr>
      </w:pPr>
      <w:r>
        <w:rPr>
          <w:rFonts w:ascii="Calibri"/>
          <w:color w:val="231F20"/>
          <w:w w:val="105"/>
          <w:sz w:val="16"/>
        </w:rPr>
        <w:t>The</w:t>
      </w:r>
      <w:r>
        <w:rPr>
          <w:rFonts w:ascii="Calibri"/>
          <w:color w:val="231F20"/>
          <w:spacing w:val="-8"/>
          <w:w w:val="105"/>
          <w:sz w:val="16"/>
        </w:rPr>
        <w:t> </w:t>
      </w:r>
      <w:r>
        <w:rPr>
          <w:rFonts w:ascii="Calibri"/>
          <w:color w:val="231F20"/>
          <w:w w:val="105"/>
          <w:sz w:val="16"/>
        </w:rPr>
        <w:t>Association</w:t>
      </w:r>
      <w:r>
        <w:rPr>
          <w:rFonts w:ascii="Calibri"/>
          <w:color w:val="231F20"/>
          <w:spacing w:val="-8"/>
          <w:w w:val="105"/>
          <w:sz w:val="16"/>
        </w:rPr>
        <w:t> </w:t>
      </w:r>
      <w:r>
        <w:rPr>
          <w:rFonts w:ascii="Calibri"/>
          <w:color w:val="231F20"/>
          <w:w w:val="105"/>
          <w:sz w:val="16"/>
        </w:rPr>
        <w:t>has</w:t>
      </w:r>
      <w:r>
        <w:rPr>
          <w:rFonts w:ascii="Calibri"/>
          <w:color w:val="231F20"/>
          <w:spacing w:val="-8"/>
          <w:w w:val="105"/>
          <w:sz w:val="16"/>
        </w:rPr>
        <w:t> </w:t>
      </w:r>
      <w:r>
        <w:rPr>
          <w:rFonts w:ascii="Calibri"/>
          <w:color w:val="231F20"/>
          <w:w w:val="105"/>
          <w:sz w:val="16"/>
        </w:rPr>
        <w:t>a</w:t>
      </w:r>
      <w:r>
        <w:rPr>
          <w:rFonts w:ascii="Calibri"/>
          <w:color w:val="231F20"/>
          <w:spacing w:val="-8"/>
          <w:w w:val="105"/>
          <w:sz w:val="16"/>
        </w:rPr>
        <w:t> </w:t>
      </w:r>
      <w:r>
        <w:rPr>
          <w:rFonts w:ascii="Calibri"/>
          <w:color w:val="231F20"/>
          <w:w w:val="105"/>
          <w:sz w:val="16"/>
        </w:rPr>
        <w:t>legal</w:t>
      </w:r>
      <w:r>
        <w:rPr>
          <w:rFonts w:ascii="Calibri"/>
          <w:color w:val="231F20"/>
          <w:spacing w:val="-7"/>
          <w:w w:val="105"/>
          <w:sz w:val="16"/>
        </w:rPr>
        <w:t> </w:t>
      </w:r>
      <w:r>
        <w:rPr>
          <w:rFonts w:ascii="Calibri"/>
          <w:color w:val="231F20"/>
          <w:w w:val="105"/>
          <w:sz w:val="16"/>
        </w:rPr>
        <w:t>obligation</w:t>
      </w:r>
      <w:r>
        <w:rPr>
          <w:rFonts w:ascii="Calibri"/>
          <w:color w:val="231F20"/>
          <w:spacing w:val="-8"/>
          <w:w w:val="105"/>
          <w:sz w:val="16"/>
        </w:rPr>
        <w:t> </w:t>
      </w:r>
      <w:r>
        <w:rPr>
          <w:rFonts w:ascii="Calibri"/>
          <w:color w:val="231F20"/>
          <w:w w:val="105"/>
          <w:sz w:val="16"/>
        </w:rPr>
        <w:t>to</w:t>
      </w:r>
      <w:r>
        <w:rPr>
          <w:rFonts w:ascii="Calibri"/>
          <w:color w:val="231F20"/>
          <w:spacing w:val="-9"/>
          <w:w w:val="105"/>
          <w:sz w:val="16"/>
        </w:rPr>
        <w:t> </w:t>
      </w:r>
      <w:r>
        <w:rPr>
          <w:rFonts w:ascii="Calibri"/>
          <w:color w:val="231F20"/>
          <w:w w:val="105"/>
          <w:sz w:val="16"/>
        </w:rPr>
        <w:t>contribute</w:t>
      </w:r>
      <w:r>
        <w:rPr>
          <w:rFonts w:ascii="Calibri"/>
          <w:color w:val="231F20"/>
          <w:spacing w:val="-9"/>
          <w:w w:val="105"/>
          <w:sz w:val="16"/>
        </w:rPr>
        <w:t> </w:t>
      </w:r>
      <w:r>
        <w:rPr>
          <w:rFonts w:ascii="Calibri"/>
          <w:color w:val="231F20"/>
          <w:w w:val="105"/>
          <w:sz w:val="16"/>
        </w:rPr>
        <w:t>as</w:t>
      </w:r>
      <w:r>
        <w:rPr>
          <w:rFonts w:ascii="Calibri"/>
          <w:color w:val="231F20"/>
          <w:spacing w:val="-8"/>
          <w:w w:val="105"/>
          <w:sz w:val="16"/>
        </w:rPr>
        <w:t> </w:t>
      </w:r>
      <w:r>
        <w:rPr>
          <w:rFonts w:ascii="Calibri"/>
          <w:color w:val="231F20"/>
          <w:w w:val="105"/>
          <w:sz w:val="16"/>
        </w:rPr>
        <w:t>set</w:t>
      </w:r>
      <w:r>
        <w:rPr>
          <w:rFonts w:ascii="Calibri"/>
          <w:color w:val="231F20"/>
          <w:spacing w:val="-8"/>
          <w:w w:val="105"/>
          <w:sz w:val="16"/>
        </w:rPr>
        <w:t> </w:t>
      </w:r>
      <w:r>
        <w:rPr>
          <w:rFonts w:ascii="Calibri"/>
          <w:color w:val="231F20"/>
          <w:w w:val="105"/>
          <w:sz w:val="16"/>
        </w:rPr>
        <w:t>out</w:t>
      </w:r>
      <w:r>
        <w:rPr>
          <w:rFonts w:ascii="Calibri"/>
          <w:color w:val="231F20"/>
          <w:spacing w:val="-8"/>
          <w:w w:val="105"/>
          <w:sz w:val="16"/>
        </w:rPr>
        <w:t> </w:t>
      </w:r>
      <w:r>
        <w:rPr>
          <w:rFonts w:ascii="Calibri"/>
          <w:color w:val="231F20"/>
          <w:w w:val="105"/>
          <w:sz w:val="16"/>
        </w:rPr>
        <w:t>in</w:t>
      </w:r>
      <w:r>
        <w:rPr>
          <w:rFonts w:ascii="Calibri"/>
          <w:color w:val="231F20"/>
          <w:spacing w:val="-8"/>
          <w:w w:val="105"/>
          <w:sz w:val="16"/>
        </w:rPr>
        <w:t> </w:t>
      </w:r>
      <w:r>
        <w:rPr>
          <w:rFonts w:ascii="Calibri"/>
          <w:color w:val="231F20"/>
          <w:w w:val="105"/>
          <w:sz w:val="16"/>
        </w:rPr>
        <w:t>the Superannuation</w:t>
      </w:r>
      <w:r>
        <w:rPr>
          <w:rFonts w:ascii="Calibri"/>
          <w:color w:val="231F20"/>
          <w:spacing w:val="-9"/>
          <w:w w:val="105"/>
          <w:sz w:val="16"/>
        </w:rPr>
        <w:t> </w:t>
      </w:r>
      <w:r>
        <w:rPr>
          <w:rFonts w:ascii="Calibri"/>
          <w:color w:val="231F20"/>
          <w:w w:val="105"/>
          <w:sz w:val="16"/>
        </w:rPr>
        <w:t>guarantee</w:t>
      </w:r>
      <w:r>
        <w:rPr>
          <w:rFonts w:ascii="Calibri"/>
          <w:color w:val="231F20"/>
          <w:spacing w:val="-9"/>
          <w:w w:val="105"/>
          <w:sz w:val="16"/>
        </w:rPr>
        <w:t> </w:t>
      </w:r>
      <w:r>
        <w:rPr>
          <w:rFonts w:ascii="Calibri"/>
          <w:color w:val="231F20"/>
          <w:w w:val="105"/>
          <w:sz w:val="16"/>
        </w:rPr>
        <w:t>legislation,</w:t>
      </w:r>
      <w:r>
        <w:rPr>
          <w:rFonts w:ascii="Calibri"/>
          <w:color w:val="231F20"/>
          <w:spacing w:val="-9"/>
          <w:w w:val="105"/>
          <w:sz w:val="16"/>
        </w:rPr>
        <w:t> </w:t>
      </w:r>
      <w:r>
        <w:rPr>
          <w:rFonts w:ascii="Calibri"/>
          <w:color w:val="231F20"/>
          <w:w w:val="105"/>
          <w:sz w:val="16"/>
        </w:rPr>
        <w:t>but</w:t>
      </w:r>
      <w:r>
        <w:rPr>
          <w:rFonts w:ascii="Calibri"/>
          <w:color w:val="231F20"/>
          <w:spacing w:val="-9"/>
          <w:w w:val="105"/>
          <w:sz w:val="16"/>
        </w:rPr>
        <w:t> </w:t>
      </w:r>
      <w:r>
        <w:rPr>
          <w:rFonts w:ascii="Calibri"/>
          <w:color w:val="231F20"/>
          <w:w w:val="105"/>
          <w:sz w:val="16"/>
        </w:rPr>
        <w:t>has</w:t>
      </w:r>
      <w:r>
        <w:rPr>
          <w:rFonts w:ascii="Calibri"/>
          <w:color w:val="231F20"/>
          <w:spacing w:val="-9"/>
          <w:w w:val="105"/>
          <w:sz w:val="16"/>
        </w:rPr>
        <w:t> </w:t>
      </w:r>
      <w:r>
        <w:rPr>
          <w:rFonts w:ascii="Calibri"/>
          <w:color w:val="231F20"/>
          <w:w w:val="105"/>
          <w:sz w:val="16"/>
        </w:rPr>
        <w:t>the</w:t>
      </w:r>
      <w:r>
        <w:rPr>
          <w:rFonts w:ascii="Calibri"/>
          <w:color w:val="231F20"/>
          <w:spacing w:val="-9"/>
          <w:w w:val="105"/>
          <w:sz w:val="16"/>
        </w:rPr>
        <w:t> </w:t>
      </w:r>
      <w:r>
        <w:rPr>
          <w:rFonts w:ascii="Calibri"/>
          <w:color w:val="231F20"/>
          <w:w w:val="105"/>
          <w:sz w:val="16"/>
        </w:rPr>
        <w:t>right</w:t>
      </w:r>
      <w:r>
        <w:rPr>
          <w:rFonts w:ascii="Calibri"/>
          <w:color w:val="231F20"/>
          <w:spacing w:val="-9"/>
          <w:w w:val="105"/>
          <w:sz w:val="16"/>
        </w:rPr>
        <w:t> </w:t>
      </w:r>
      <w:r>
        <w:rPr>
          <w:rFonts w:ascii="Calibri"/>
          <w:color w:val="231F20"/>
          <w:w w:val="105"/>
          <w:sz w:val="16"/>
        </w:rPr>
        <w:t>to</w:t>
      </w:r>
      <w:r>
        <w:rPr>
          <w:rFonts w:ascii="Calibri"/>
          <w:color w:val="231F20"/>
          <w:spacing w:val="-10"/>
          <w:w w:val="105"/>
          <w:sz w:val="16"/>
        </w:rPr>
        <w:t> </w:t>
      </w:r>
      <w:r>
        <w:rPr>
          <w:rFonts w:ascii="Calibri"/>
          <w:color w:val="231F20"/>
          <w:w w:val="105"/>
          <w:sz w:val="16"/>
        </w:rPr>
        <w:t>vary</w:t>
      </w:r>
      <w:r>
        <w:rPr>
          <w:rFonts w:ascii="Calibri"/>
          <w:color w:val="231F20"/>
          <w:spacing w:val="-9"/>
          <w:w w:val="105"/>
          <w:sz w:val="16"/>
        </w:rPr>
        <w:t> </w:t>
      </w:r>
      <w:r>
        <w:rPr>
          <w:rFonts w:ascii="Calibri"/>
          <w:color w:val="231F20"/>
          <w:w w:val="105"/>
          <w:sz w:val="16"/>
        </w:rPr>
        <w:t>the rate of, or terminate, contributions upon giving notice as prescribed in the deed, subject to</w:t>
      </w:r>
      <w:r>
        <w:rPr>
          <w:rFonts w:ascii="Calibri"/>
          <w:color w:val="231F20"/>
          <w:spacing w:val="18"/>
          <w:w w:val="105"/>
          <w:sz w:val="16"/>
        </w:rPr>
        <w:t> </w:t>
      </w:r>
      <w:r>
        <w:rPr>
          <w:rFonts w:ascii="Calibri"/>
          <w:color w:val="231F20"/>
          <w:w w:val="105"/>
          <w:sz w:val="16"/>
        </w:rPr>
        <w:t>superannuation</w:t>
      </w:r>
    </w:p>
    <w:p>
      <w:pPr>
        <w:spacing w:before="2"/>
        <w:ind w:left="3841" w:right="0" w:firstLine="0"/>
        <w:jc w:val="left"/>
        <w:rPr>
          <w:rFonts w:ascii="Calibri"/>
          <w:sz w:val="16"/>
        </w:rPr>
      </w:pPr>
      <w:r>
        <w:rPr>
          <w:rFonts w:ascii="Calibri"/>
          <w:color w:val="231F20"/>
          <w:w w:val="105"/>
          <w:sz w:val="16"/>
        </w:rPr>
        <w:t>guarantee conditions.</w:t>
      </w:r>
    </w:p>
    <w:p>
      <w:pPr>
        <w:pStyle w:val="BodyText"/>
        <w:rPr>
          <w:rFonts w:ascii="Calibri"/>
          <w:sz w:val="17"/>
        </w:rPr>
      </w:pPr>
    </w:p>
    <w:p>
      <w:pPr>
        <w:spacing w:before="1"/>
        <w:ind w:left="2258" w:right="0" w:firstLine="0"/>
        <w:jc w:val="left"/>
        <w:rPr>
          <w:rFonts w:ascii="Calibri"/>
          <w:sz w:val="16"/>
        </w:rPr>
      </w:pPr>
      <w:r>
        <w:rPr>
          <w:rFonts w:ascii="Calibri"/>
          <w:color w:val="231F20"/>
          <w:w w:val="105"/>
          <w:sz w:val="16"/>
        </w:rPr>
        <w:t>Each fund is self administered by the Superannuation Company</w:t>
      </w:r>
    </w:p>
    <w:p>
      <w:pPr>
        <w:spacing w:after="0"/>
        <w:jc w:val="left"/>
        <w:rPr>
          <w:rFonts w:ascii="Calibri"/>
          <w:sz w:val="16"/>
        </w:rPr>
        <w:sectPr>
          <w:pgSz w:w="11910" w:h="16840"/>
          <w:pgMar w:header="0" w:footer="524" w:top="960" w:bottom="720" w:left="0" w:right="220"/>
        </w:sectPr>
      </w:pPr>
    </w:p>
    <w:p>
      <w:pPr>
        <w:pStyle w:val="BodyText"/>
        <w:spacing w:before="4"/>
        <w:rPr>
          <w:rFonts w:ascii="Times New Roman"/>
          <w:sz w:val="17"/>
        </w:rPr>
      </w:pPr>
    </w:p>
    <w:p>
      <w:pPr>
        <w:spacing w:after="0"/>
        <w:rPr>
          <w:rFonts w:ascii="Times New Roman"/>
          <w:sz w:val="17"/>
        </w:rPr>
        <w:sectPr>
          <w:headerReference w:type="default" r:id="rId79"/>
          <w:footerReference w:type="default" r:id="rId80"/>
          <w:pgSz w:w="11910" w:h="16840"/>
          <w:pgMar w:header="0" w:footer="0" w:top="1580" w:bottom="280" w:left="0" w:right="2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p>
      <w:pPr>
        <w:pStyle w:val="BodyText"/>
        <w:ind w:left="4672"/>
        <w:rPr>
          <w:rFonts w:ascii="Times New Roman"/>
          <w:sz w:val="20"/>
        </w:rPr>
      </w:pPr>
      <w:r>
        <w:rPr>
          <w:rFonts w:ascii="Times New Roman"/>
          <w:sz w:val="20"/>
        </w:rPr>
        <w:pict>
          <v:group style="width:128.1pt;height:176.95pt;mso-position-horizontal-relative:char;mso-position-vertical-relative:line" coordorigin="0,0" coordsize="2562,3539">
            <v:shape style="position:absolute;left:0;top:0;width:2562;height:3539" type="#_x0000_t75" stroked="false">
              <v:imagedata r:id="rId7" o:title=""/>
            </v:shape>
            <v:shape style="position:absolute;left:0;top:1205;width:2562;height:2333" coordorigin="0,1205" coordsize="2562,2333" path="m0,1205l0,3538,2561,3538,2561,1255,2303,1225,0,1205xe" filled="true" fillcolor="#ffffff" stroked="false">
              <v:path arrowok="t"/>
              <v:fill type="solid"/>
            </v:shape>
            <v:rect style="position:absolute;left:0;top:0;width:2562;height:3539" filled="true" fillcolor="#231f20" stroked="false">
              <v:fill type="solid"/>
            </v:rect>
            <v:shape style="position:absolute;left:121;top:276;width:594;height:1440" coordorigin="122,277" coordsize="594,1440" path="m469,277l449,278,422,284,386,293,343,305,289,334,244,354,209,367,183,371,170,385,161,428,156,500,155,590,154,1078,154,1167,152,1251,148,1332,144,1408,138,1479,130,1547,122,1610,122,1630,126,1659,139,1683,161,1702,191,1716,223,1697,246,1676,260,1654,265,1630,267,1483,271,1352,274,1240,279,1144,284,1066,289,1005,296,962,302,936,310,927,463,927,494,915,546,879,596,829,601,821,408,821,364,818,329,810,303,798,285,780,285,518,338,455,384,411,424,384,457,375,642,375,615,346,565,307,517,284,469,277xm463,927l314,927,383,943,440,936,463,927xm642,375l465,375,501,382,533,403,561,439,584,489,583,519,580,552,575,590,567,632,522,715,480,774,442,809,408,821,601,821,648,747,685,673,707,606,715,547,715,542,702,473,686,445,675,423,668,408,666,399,642,375xe" filled="true" fillcolor="#ffffff" stroked="false">
              <v:path arrowok="t"/>
              <v:fill type="solid"/>
            </v:shape>
            <v:shape style="position:absolute;left:767;top:100;width:896;height:1603" coordorigin="767,101" coordsize="896,1603" path="m1338,933l1214,933,1231,1030,1249,1121,1266,1205,1284,1283,1302,1355,1319,1421,1319,1429,1315,1433,1322,1442,1328,1454,1334,1467,1340,1482,1353,1579,1373,1648,1400,1689,1434,1703,1434,1699,1454,1697,1473,1691,1489,1680,1503,1666,1509,1611,1515,1549,1523,1479,1533,1402,1543,1318,1555,1229,1413,1229,1408,1226,1402,1219,1394,1208,1385,1192,1373,1135,1362,1071,1350,1002,1338,933xm857,101l828,104,803,115,783,133,767,158,771,174,774,261,777,346,780,430,783,514,786,596,790,678,793,758,797,838,800,917,804,994,809,1081,812,1147,821,1162,828,1208,833,1285,836,1393,837,1531,841,1585,854,1623,876,1646,906,1654,926,1650,945,1640,965,1622,984,1597,989,1560,1003,1507,1028,1437,1062,1349,1107,1245,1113,1229,967,1229,959,1220,952,1190,945,1150,938,1101,932,1042,927,973,921,895,917,807,912,709,908,602,905,485,902,358,902,330,914,170,911,140,900,118,882,105,857,101xm1195,503l1171,519,1153,554,1141,609,1132,665,1120,730,1104,803,1085,885,1063,975,1035,1080,1009,1157,987,1207,967,1229,1113,1229,1143,1151,1159,1056,1175,987,1192,947,1210,933,1338,933,1337,926,1324,844,1310,757,1289,639,1268,558,1247,513,1225,506,1195,503xm1597,121l1563,126,1539,140,1524,163,1520,195,1519,215,1518,250,1515,302,1512,370,1507,453,1501,558,1495,668,1487,799,1479,947,1471,1009,1465,1054,1459,1081,1454,1089,1447,1150,1439,1194,1432,1220,1426,1229,1555,1229,1569,1126,1663,223,1659,179,1646,147,1626,128,1597,121xe" filled="true" fillcolor="#ffffff" stroked="false">
              <v:path arrowok="t"/>
              <v:fill type="solid"/>
            </v:shape>
            <v:shape style="position:absolute;left:1725;top:216;width:667;height:1624" coordorigin="1725,216" coordsize="667,1624" path="m2375,1468l2216,1468,2229,1476,2231,1545,2235,1607,2240,1662,2245,1709,2250,1766,2264,1807,2289,1832,2323,1840,2355,1836,2370,1821,2381,1794,2389,1755,2392,1705,2385,1616,2379,1529,2375,1468xm2306,216l2286,220,2267,231,2248,248,2229,274,2233,584,2233,740,2227,851,2220,930,2211,978,2200,993,2121,999,2049,1017,1985,1046,1928,1087,1879,1140,1838,1204,1789,1303,1754,1389,1733,1461,1725,1521,1726,1539,1729,1558,1732,1578,1738,1599,1776,1640,1817,1669,1862,1687,1910,1693,1942,1690,1979,1680,2018,1665,2061,1644,2090,1633,2125,1600,2161,1554,1897,1554,1879,1549,1867,1536,1859,1515,1856,1484,1856,1451,1893,1361,1937,1265,1986,1196,2039,1154,2098,1141,2361,1141,2361,1136,2360,1065,2359,1017,2360,993,2376,593,2372,384,2368,311,2355,258,2335,227,2306,216xm2361,1141l2098,1141,2128,1148,2150,1157,2163,1168,2167,1182,2162,1203,2157,1214,2151,1214,2142,1252,2132,1285,2122,1315,2110,1341,2081,1434,2037,1501,1980,1540,1910,1554,2161,1554,2167,1545,2216,1468,2375,1468,2374,1445,2369,1361,2366,1285,2363,1209,2361,1141xe" filled="true" fillcolor="#ffffff" stroked="false">
              <v:path arrowok="t"/>
              <v:fill type="solid"/>
            </v:shape>
            <v:shape style="position:absolute;left:105;top:1725;width:1154;height:1809" coordorigin="105,1726" coordsize="1154,1809" path="m907,2683l745,2683,771,2776,797,2864,822,2947,847,3025,872,3097,897,3164,921,3226,922,3235,917,3240,927,3250,936,3262,944,3276,953,3293,978,3402,1010,3478,1048,3522,1092,3535,1092,3530,1118,3526,1141,3517,1161,3504,1178,3486,1180,3432,1183,3371,1186,3303,1190,3229,1195,3149,1201,3062,1206,2999,1025,2999,1019,2997,1010,2989,999,2977,985,2960,966,2896,946,2825,924,2748,907,2683xm216,1774l179,1781,148,1796,124,1818,105,1848,112,1866,121,1950,131,2033,140,2115,150,2198,159,2276,169,2356,179,2435,188,2513,198,2590,208,2667,219,2749,229,2827,238,2891,248,2964,258,2976,269,3011,280,3071,290,3156,301,3265,312,3398,322,3458,342,3500,372,3524,412,3530,437,3524,461,3510,484,3488,507,3458,510,3416,524,3354,549,3272,586,3170,634,3047,635,3042,454,3042,443,3033,432,3003,421,2964,409,2915,397,2857,385,2790,373,2714,361,2628,348,2533,335,2429,322,2316,309,2194,296,2062,293,2030,295,1848,288,1813,272,1790,248,1777,216,1774xm683,2197l654,2218,634,2260,623,2323,616,2388,606,2462,593,2547,576,2641,555,2746,527,2867,501,2957,477,3015,454,3042,635,3042,673,2937,685,2827,700,2749,718,2701,739,2684,745,2683,907,2683,902,2663,878,2572,853,2474,815,2342,781,2252,750,2204,722,2198,683,2197xm1166,1726l1123,1734,1093,1752,1076,1780,1073,1817,1074,1834,1075,1863,1076,1904,1077,1958,1078,2033,1079,2115,1081,2293,1084,2590,1085,2673,1081,2744,1076,2796,1071,2827,1066,2837,1061,2907,1056,2957,1049,2987,1041,2998,1025,2999,1206,2999,1209,2957,1216,2868,1259,1835,1250,1785,1231,1750,1203,1730,1166,1726xe" filled="true" fillcolor="#ffffff" stroked="false">
              <v:path arrowok="t"/>
              <v:fill type="solid"/>
            </v:shape>
            <v:shape style="position:absolute;left:1447;top:1680;width:964;height:1805" coordorigin="1448,1680" coordsize="964,1805" path="m1785,1680l1757,1687,1728,1702,1699,1726,1670,1759,1659,1807,1649,1843,1640,1867,1632,1878,1625,1939,1619,2002,1612,2067,1604,2135,1597,2205,1589,2277,1580,2351,1571,2428,1562,2507,1552,2588,1541,2677,1532,2757,1521,2845,1510,2936,1498,3028,1486,3123,1474,3220,1461,3320,1448,3421,1455,3446,1471,3465,1497,3478,1532,3485,1544,3483,1556,3477,1569,3469,1582,3458,1661,2897,1671,2875,1703,2855,1758,2836,1836,2819,1936,2802,2059,2788,2284,2788,2271,2724,2261,2679,1808,2679,1755,2677,1723,2669,1712,2656,1707,2600,1707,2579,1708,2565,1710,2556,1714,2553,1724,2426,1733,2317,1743,2224,1752,2147,1761,2088,1771,2045,1781,1985,1790,1942,1797,1916,1803,1907,1808,1907,2013,1907,1971,1818,1935,1757,1892,1714,1842,1688,1785,1680xm2284,2788l2059,2788,2122,2792,2135,2807,2150,2851,2167,2927,2187,3032,2209,3168,2219,3298,2235,3378,2259,3435,2289,3467,2327,3476,2365,3462,2392,3446,2407,3428,2412,3409,2401,3350,2391,3305,2380,3273,2368,3254,2343,3109,2320,2984,2301,2878,2285,2792,2284,2788xm2013,1907l1808,1907,1836,1917,1868,1950,1904,2007,1943,2088,1986,2215,2022,2318,2051,2396,2073,2449,2088,2478,2094,2552,2107,2593,2105,2626,2097,2641,2071,2653,2027,2662,1966,2669,1882,2675,1808,2679,2261,2679,2260,2676,2253,2648,2248,2638,2218,2516,2191,2407,2166,2312,2143,2231,2122,2164,2104,2110,2088,2070,2061,2012,2032,1950,2013,1907xe" filled="true" fillcolor="#ffffff" stroked="false">
              <v:path arrowok="t"/>
              <v:fill type="solid"/>
            </v:shape>
          </v:group>
        </w:pict>
      </w:r>
      <w:r>
        <w:rPr>
          <w:rFonts w:ascii="Times New Roman"/>
          <w:sz w:val="20"/>
        </w:rPr>
      </w:r>
    </w:p>
    <w:p>
      <w:pPr>
        <w:pStyle w:val="BodyText"/>
        <w:rPr>
          <w:rFonts w:ascii="Times New Roman"/>
          <w:sz w:val="20"/>
        </w:rPr>
      </w:pPr>
    </w:p>
    <w:p>
      <w:pPr>
        <w:pStyle w:val="BodyText"/>
        <w:spacing w:before="8"/>
        <w:rPr>
          <w:rFonts w:ascii="Times New Roman"/>
          <w:sz w:val="18"/>
        </w:rPr>
      </w:pPr>
    </w:p>
    <w:p>
      <w:pPr>
        <w:spacing w:before="110"/>
        <w:ind w:left="5136" w:right="0" w:firstLine="0"/>
        <w:jc w:val="left"/>
        <w:rPr>
          <w:b/>
          <w:sz w:val="28"/>
        </w:rPr>
      </w:pPr>
      <w:r>
        <w:rPr>
          <w:b/>
          <w:color w:val="231F20"/>
          <w:sz w:val="28"/>
        </w:rPr>
        <w:t>FIND US ON</w:t>
      </w:r>
    </w:p>
    <w:p>
      <w:pPr>
        <w:pStyle w:val="Heading3"/>
        <w:spacing w:line="679" w:lineRule="auto" w:before="287"/>
        <w:ind w:left="4861" w:right="3480"/>
      </w:pPr>
      <w:r>
        <w:rPr/>
        <w:pict>
          <v:group style="position:absolute;margin-left:215.397598pt;margin-top:11.739863pt;width:12.35pt;height:24.7pt;mso-position-horizontal-relative:page;mso-position-vertical-relative:paragraph;z-index:3184" coordorigin="4308,235" coordsize="247,494">
            <v:shape style="position:absolute;left:4317;top:244;width:227;height:474" coordorigin="4318,245" coordsize="227,474" path="m4542,245l4468,245,4444,246,4422,252,4404,260,4389,272,4378,285,4371,301,4366,319,4365,339,4365,399,4320,399,4318,401,4318,484,4320,487,4365,487,4365,717,4367,719,4469,719,4471,717,4471,709,4375,709,4375,479,4372,477,4328,477,4328,409,4372,409,4375,406,4375,336,4376,321,4380,305,4387,291,4396,279,4410,268,4426,261,4446,256,4468,255,4544,255,4544,247,4542,245xm4544,255l4534,255,4534,326,4474,326,4461,339,4461,406,4464,408,4534,408,4532,430,4530,450,4528,466,4526,477,4463,477,4461,479,4461,709,4471,709,4471,487,4533,487,4535,485,4535,482,4536,476,4539,458,4542,433,4544,404,4544,402,4544,401,4542,399,4541,398,4471,398,4471,345,4479,336,4542,336,4544,334,4544,255xe" filled="true" fillcolor="#211e1f" stroked="false">
              <v:path arrowok="t"/>
              <v:fill type="solid"/>
            </v:shape>
            <v:shape style="position:absolute;left:-148;top:3757;width:227;height:474" coordorigin="-148,3758" coordsize="227,474" path="m4466,719l4370,719,4367,719,4365,717,4365,714,4365,487,4323,487,4320,487,4318,484,4318,482,4318,404,4318,401,4320,399,4323,399,4365,399,4365,340,4366,319,4371,301,4378,285,4389,272,4404,260,4422,252,4444,246,4468,245,4539,245,4542,245,4544,247,4544,250,4544,331,4544,334,4542,336,4539,336,4487,336,4479,336,4471,345,4471,350,4471,398,4539,398,4541,398,4542,399,4543,400,4544,401,4544,402,4544,404,4542,433,4539,458,4536,476,4535,482,4535,485,4533,487,4530,487,4471,487,4471,714,4471,717,4469,719,4466,719xm4375,709l4461,709,4461,482,4461,479,4463,477,4466,477,4526,477,4528,466,4530,450,4532,430,4534,408,4466,408,4464,408,4461,406,4461,403,4461,350,4461,339,4474,326,4487,326,4534,326,4534,255,4468,255,4446,256,4426,261,4410,268,4396,279,4387,291,4380,305,4376,321,4375,339,4375,404,4375,406,4372,409,4370,409,4328,409,4328,477,4370,477,4372,477,4375,479,4375,482,4375,709xe" filled="false" stroked="true" strokeweight="1pt" strokecolor="#211e1f">
              <v:path arrowok="t"/>
              <v:stroke dashstyle="solid"/>
            </v:shape>
            <w10:wrap type="none"/>
          </v:group>
        </w:pict>
      </w:r>
      <w:r>
        <w:rPr/>
        <w:pict>
          <v:group style="position:absolute;margin-left:209.242798pt;margin-top:52.133465pt;width:24.75pt;height:20.65pt;mso-position-horizontal-relative:page;mso-position-vertical-relative:paragraph;z-index:3208" coordorigin="4185,1043" coordsize="495,413">
            <v:shape style="position:absolute;left:4194;top:1052;width:475;height:393" coordorigin="4195,1053" coordsize="475,393" path="m4354,1445l4350,1445,4351,1445,4353,1445,4354,1445xm4216,1187l4213,1188,4212,1190,4212,1192,4211,1202,4216,1226,4232,1255,4267,1283,4246,1283,4245,1284,4243,1286,4242,1288,4243,1289,4246,1299,4258,1319,4284,1342,4328,1359,4313,1369,4288,1380,4251,1388,4200,1391,4198,1391,4196,1392,4195,1396,4196,1399,4197,1400,4209,1408,4239,1423,4286,1439,4346,1445,4350,1445,4354,1445,4383,1443,4414,1435,4351,1435,4346,1435,4303,1432,4267,1423,4238,1412,4217,1401,4276,1394,4314,1380,4335,1365,4342,1358,4343,1357,4343,1355,4342,1352,4340,1351,4339,1350,4301,1340,4276,1324,4262,1307,4254,1293,4294,1293,4297,1291,4297,1288,4297,1286,4296,1284,4294,1283,4256,1264,4234,1241,4224,1219,4221,1201,4264,1201,4264,1201,4263,1199,4261,1198,4261,1197,4244,1197,4237,1196,4228,1194,4218,1187,4216,1187xm4663,1110l4648,1110,4609,1145,4608,1146,4609,1163,4609,1169,4608,1192,4603,1223,4592,1258,4529,1357,4456,1410,4392,1431,4353,1435,4414,1435,4432,1431,4490,1402,4550,1348,4601,1262,4613,1227,4618,1196,4619,1173,4619,1163,4618,1150,4663,1110xm4350,1435l4346,1435,4351,1435,4350,1435xm4264,1201l4221,1201,4239,1210,4259,1207,4261,1206,4263,1205,4264,1201xm4230,1068l4226,1069,4225,1070,4224,1071,4219,1084,4219,1084,4213,1115,4217,1156,4244,1197,4261,1197,4232,1166,4222,1133,4224,1104,4230,1083,4245,1083,4232,1070,4231,1069,4230,1068xm4245,1083l4230,1083,4284,1133,4334,1163,4376,1176,4408,1180,4420,1180,4426,1178,4429,1178,4431,1175,4431,1170,4408,1170,4377,1166,4335,1153,4286,1122,4245,1083xm4515,1053l4503,1053,4492,1054,4480,1056,4469,1060,4447,1076,4426,1110,4420,1169,4417,1169,4413,1170,4431,1170,4434,1117,4451,1085,4471,1070,4482,1066,4493,1064,4504,1063,4568,1063,4545,1056,4515,1053xm4655,1070l4644,1070,4635,1084,4624,1096,4614,1104,4610,1107,4608,1109,4608,1111,4609,1115,4612,1117,4614,1116,4648,1110,4663,1110,4669,1104,4669,1103,4631,1103,4639,1094,4647,1084,4653,1074,4655,1070xm4666,1096l4663,1097,4631,1103,4669,1103,4670,1102,4668,1098,4666,1096xm4568,1063l4515,1063,4547,1067,4572,1075,4587,1084,4592,1088,4594,1089,4596,1090,4623,1079,4596,1079,4586,1072,4569,1063,4568,1063xm4652,1056l4596,1079,4623,1079,4644,1070,4655,1070,4657,1062,4657,1060,4657,1059,4654,1056,4652,1056xe" filled="true" fillcolor="#211e1f" stroked="false">
              <v:path arrowok="t"/>
              <v:fill type="solid"/>
            </v:shape>
            <v:shape style="position:absolute;left:-159;top:3839;width:475;height:393" coordorigin="-158,3839" coordsize="475,393" path="m4353,1445l4351,1445,4350,1445,4350,1445,4346,1445,4286,1439,4239,1423,4209,1408,4197,1400,4196,1399,4195,1396,4196,1394,4196,1392,4198,1391,4200,1391,4200,1391,4251,1388,4288,1380,4313,1369,4328,1359,4284,1342,4258,1319,4246,1299,4243,1289,4242,1288,4243,1286,4244,1285,4245,1284,4246,1283,4248,1283,4267,1283,4232,1255,4216,1226,4211,1202,4212,1192,4212,1190,4213,1188,4214,1188,4216,1187,4218,1187,4219,1188,4228,1194,4237,1196,4244,1197,4217,1156,4213,1115,4219,1084,4224,1071,4225,1070,4226,1069,4228,1069,4230,1068,4231,1069,4232,1070,4286,1122,4335,1153,4377,1166,4408,1170,4413,1170,4417,1169,4420,1169,4426,1110,4447,1076,4469,1060,4480,1056,4492,1054,4503,1053,4515,1053,4545,1056,4569,1063,4586,1072,4596,1079,4650,1057,4652,1056,4654,1056,4655,1057,4657,1059,4657,1060,4657,1062,4653,1074,4647,1084,4639,1094,4631,1103,4663,1097,4666,1096,4668,1098,4669,1100,4670,1102,4669,1104,4668,1106,4618,1150,4619,1169,4618,1196,4613,1227,4601,1262,4550,1348,4490,1402,4432,1431,4383,1443,4353,1445xm4350,1435l4350,1435,4351,1435,4353,1435,4392,1431,4456,1410,4529,1357,4592,1258,4603,1223,4608,1192,4609,1166,4608,1148,4608,1146,4609,1145,4610,1144,4648,1110,4614,1116,4612,1117,4609,1115,4608,1113,4608,1111,4608,1109,4610,1107,4614,1104,4624,1096,4635,1084,4644,1070,4597,1089,4596,1090,4594,1089,4592,1088,4587,1084,4572,1075,4547,1067,4515,1063,4504,1063,4493,1064,4482,1066,4471,1070,4451,1085,4434,1117,4430,1173,4431,1175,4429,1178,4427,1178,4426,1178,4420,1180,4408,1180,4376,1176,4334,1163,4284,1133,4230,1083,4224,1104,4222,1133,4232,1166,4261,1198,4263,1199,4264,1201,4263,1203,4263,1205,4261,1206,4259,1207,4239,1210,4239,1210,4221,1201,4224,1219,4234,1241,4256,1264,4294,1283,4296,1284,4297,1286,4297,1289,4297,1291,4294,1293,4292,1293,4254,1293,4262,1307,4276,1324,4301,1340,4339,1350,4340,1351,4342,1352,4343,1354,4343,1355,4343,1357,4342,1358,4335,1365,4314,1380,4276,1394,4217,1401,4238,1412,4267,1423,4303,1432,4346,1435,4350,1435xe" filled="false" stroked="true" strokeweight="1pt" strokecolor="#211e1f">
              <v:path arrowok="t"/>
              <v:stroke dashstyle="solid"/>
            </v:shape>
            <w10:wrap type="none"/>
          </v:group>
        </w:pict>
      </w:r>
      <w:r>
        <w:rPr>
          <w:color w:val="231F20"/>
          <w:w w:val="95"/>
        </w:rPr>
        <w:t>PeopleWithDisabilityWA </w:t>
      </w:r>
      <w:r>
        <w:rPr>
          <w:color w:val="231F20"/>
        </w:rPr>
        <w:t>pwdwa4</w:t>
      </w:r>
    </w:p>
    <w:p>
      <w:pPr>
        <w:spacing w:line="257" w:lineRule="exact" w:before="0"/>
        <w:ind w:left="1916" w:right="1696" w:firstLine="0"/>
        <w:jc w:val="center"/>
        <w:rPr>
          <w:sz w:val="24"/>
        </w:rPr>
      </w:pPr>
      <w:r>
        <w:rPr>
          <w:b/>
          <w:color w:val="231F20"/>
          <w:sz w:val="24"/>
        </w:rPr>
        <w:t>Email: </w:t>
      </w:r>
      <w:hyperlink r:id="rId83">
        <w:r>
          <w:rPr>
            <w:color w:val="231F20"/>
            <w:sz w:val="24"/>
          </w:rPr>
          <w:t>info@pwdwa.org</w:t>
        </w:r>
      </w:hyperlink>
    </w:p>
    <w:p>
      <w:pPr>
        <w:spacing w:before="12"/>
        <w:ind w:left="219" w:right="0" w:firstLine="0"/>
        <w:jc w:val="center"/>
        <w:rPr>
          <w:sz w:val="24"/>
        </w:rPr>
      </w:pPr>
      <w:r>
        <w:rPr>
          <w:b/>
          <w:color w:val="231F20"/>
          <w:sz w:val="24"/>
        </w:rPr>
        <w:t>Website: </w:t>
      </w:r>
      <w:hyperlink r:id="rId43">
        <w:r>
          <w:rPr>
            <w:color w:val="231F20"/>
            <w:sz w:val="24"/>
          </w:rPr>
          <w:t>www.pwdwa.org</w:t>
        </w:r>
      </w:hyperlink>
    </w:p>
    <w:p>
      <w:pPr>
        <w:pStyle w:val="BodyText"/>
        <w:spacing w:before="1"/>
        <w:rPr>
          <w:sz w:val="26"/>
        </w:rPr>
      </w:pPr>
    </w:p>
    <w:p>
      <w:pPr>
        <w:pStyle w:val="BodyText"/>
        <w:ind w:left="219"/>
        <w:jc w:val="center"/>
      </w:pPr>
      <w:r>
        <w:rPr>
          <w:color w:val="231F20"/>
        </w:rPr>
        <w:t>Oasis Lotteries House 1/37 Hampden Road Nedlands WA 6009</w:t>
      </w:r>
    </w:p>
    <w:p>
      <w:pPr>
        <w:spacing w:before="12"/>
        <w:ind w:left="220" w:right="0" w:firstLine="0"/>
        <w:jc w:val="center"/>
        <w:rPr>
          <w:sz w:val="24"/>
        </w:rPr>
      </w:pPr>
      <w:r>
        <w:rPr>
          <w:b/>
          <w:color w:val="231F20"/>
          <w:sz w:val="24"/>
        </w:rPr>
        <w:t>Ph: </w:t>
      </w:r>
      <w:r>
        <w:rPr>
          <w:color w:val="231F20"/>
          <w:sz w:val="24"/>
        </w:rPr>
        <w:t>(08) 9485 8900 </w:t>
      </w:r>
      <w:r>
        <w:rPr>
          <w:b/>
          <w:color w:val="231F20"/>
          <w:sz w:val="24"/>
        </w:rPr>
        <w:t>Fax: </w:t>
      </w:r>
      <w:r>
        <w:rPr>
          <w:color w:val="231F20"/>
          <w:sz w:val="24"/>
        </w:rPr>
        <w:t>(08) 9386 1011</w:t>
      </w:r>
    </w:p>
    <w:p>
      <w:pPr>
        <w:spacing w:before="12"/>
        <w:ind w:left="1916" w:right="1696" w:firstLine="0"/>
        <w:jc w:val="center"/>
        <w:rPr>
          <w:sz w:val="24"/>
        </w:rPr>
      </w:pPr>
      <w:r>
        <w:rPr>
          <w:b/>
          <w:color w:val="231F20"/>
          <w:sz w:val="24"/>
        </w:rPr>
        <w:t>Country: </w:t>
      </w:r>
      <w:r>
        <w:rPr>
          <w:color w:val="231F20"/>
          <w:sz w:val="24"/>
        </w:rPr>
        <w:t>1800 193 331</w:t>
      </w:r>
    </w:p>
    <w:sectPr>
      <w:headerReference w:type="default" r:id="rId81"/>
      <w:footerReference w:type="default" r:id="rId82"/>
      <w:pgSz w:w="11910" w:h="16840"/>
      <w:pgMar w:header="0" w:footer="0" w:top="1580" w:bottom="280" w:left="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5048"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r>
      <w:rPr/>
      <w:pict>
        <v:shape style="position:absolute;margin-left:108.344002pt;margin-top:766.552795pt;width:148.85pt;height:15.45pt;mso-position-horizontal-relative:page;mso-position-vertical-relative:page;z-index:-85024" type="#_x0000_t202" filled="false" stroked="false">
          <v:textbox inset="0,0,0,0">
            <w:txbxContent>
              <w:p>
                <w:pPr>
                  <w:pStyle w:val="BodyText"/>
                  <w:spacing w:before="12"/>
                  <w:ind w:left="20"/>
                </w:pPr>
                <w:r>
                  <w:rPr>
                    <w:color w:val="44536A"/>
                  </w:rPr>
                  <w:t>Annual Report 2014 – 2015</w:t>
                </w:r>
              </w:p>
            </w:txbxContent>
          </v:textbox>
          <w10:wrap type="none"/>
        </v:shape>
      </w:pict>
    </w:r>
    <w:r>
      <w:rPr/>
      <w:pict>
        <v:shape style="position:absolute;margin-left:466.388pt;margin-top:781.672791pt;width:40.15pt;height:15.45pt;mso-position-horizontal-relative:page;mso-position-vertical-relative:page;z-index:-85000" type="#_x0000_t202" filled="false" stroked="false">
          <v:textbox inset="0,0,0,0">
            <w:txbxContent>
              <w:p>
                <w:pPr>
                  <w:pStyle w:val="BodyText"/>
                  <w:spacing w:before="12"/>
                  <w:ind w:left="20"/>
                </w:pPr>
                <w:r>
                  <w:rPr>
                    <w:color w:val="44536A"/>
                  </w:rPr>
                  <w:t>Page 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4928"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3608"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3584"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3488"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3464"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805.731079pt;width:595.35pt;height:36.2pt;mso-position-horizontal-relative:page;mso-position-vertical-relative:page;z-index:-83416" coordorigin="0,16115" coordsize="11907,724">
          <v:shape style="position:absolute;left:0;top:16114;width:11907;height:724" type="#_x0000_t75" stroked="false">
            <v:imagedata r:id="rId1" o:title=""/>
          </v:shape>
          <v:shape style="position:absolute;left:1303;top:16516;width:10604;height:322" coordorigin="1303,16517" coordsize="10604,322" path="m9427,16517l1303,16838,11906,16838,11906,16630,11045,16530,9427,16517xe" filled="true" fillcolor="#ffffff" stroked="false">
            <v:path arrowok="t"/>
            <v:fill type="solid"/>
          </v:shape>
          <v:shape style="position:absolute;left:1632;top:16591;width:10274;height:247" type="#_x0000_t75" stroked="false">
            <v:imagedata r:id="rId2" o:title=""/>
          </v:shape>
          <w10:wrap type="none"/>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2.024002pt;margin-top:35.696800pt;width:185.9pt;height:13.45pt;mso-position-horizontal-relative:page;mso-position-vertical-relative:page;z-index:-8512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509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r>
      <w:rPr/>
      <w:pict>
        <v:line style="position:absolute;mso-position-horizontal-relative:page;mso-position-vertical-relative:page;z-index:-85072" from="70.584pt,50.399982pt" to="506.854pt,50.399982pt" stroked="true" strokeweight=".48pt" strokecolor="#231f20">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54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52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49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47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448"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424"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40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37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352"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328"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30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28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25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23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208"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184"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16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13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112"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088"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97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95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06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04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01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99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3968"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944"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392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89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3872"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848"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382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80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377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75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3728"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704"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368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365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0pt;width:595.35pt;height:48.8pt;mso-position-horizontal-relative:page;mso-position-vertical-relative:page;z-index:-8363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90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88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r>
      <w:rPr/>
      <w:pict>
        <v:line style="position:absolute;mso-position-horizontal-relative:page;mso-position-vertical-relative:page;z-index:-84856" from="70.584pt,50.399982pt" to="506.854pt,50.399982pt" stroked="true" strokeweight=".48pt" strokecolor="#231f20">
          <v:stroke dashstyle="solid"/>
          <w10:wrap type="none"/>
        </v:lin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0pt;width:595.35pt;height:48.8pt;mso-position-horizontal-relative:page;mso-position-vertical-relative:page;z-index:-8356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0pt;width:595.35pt;height:48.8pt;mso-position-horizontal-relative:page;mso-position-vertical-relative:page;z-index:-8353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r>
      <w:rPr/>
      <w:pict>
        <v:shape style="position:absolute;margin-left:53.959999pt;margin-top:66.699982pt;width:123.8pt;height:12.1pt;mso-position-horizontal-relative:page;mso-position-vertical-relative:page;z-index:-83512" type="#_x0000_t202" filled="false" stroked="false">
          <v:textbox inset="0,0,0,0">
            <w:txbxContent>
              <w:p>
                <w:pPr>
                  <w:spacing w:line="225" w:lineRule="exact" w:before="0"/>
                  <w:ind w:left="20" w:right="0" w:firstLine="0"/>
                  <w:jc w:val="left"/>
                  <w:rPr>
                    <w:rFonts w:ascii="Calibri"/>
                    <w:b/>
                    <w:sz w:val="20"/>
                  </w:rPr>
                </w:pPr>
                <w:r>
                  <w:rPr>
                    <w:rFonts w:ascii="Calibri"/>
                    <w:b/>
                    <w:color w:val="231F20"/>
                    <w:sz w:val="20"/>
                  </w:rPr>
                  <w:t>STATEMENT OF CASH FLOWS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14pt;margin-top:0pt;width:595.35pt;height:48.8pt;mso-position-horizontal-relative:page;mso-position-vertical-relative:page;z-index:-8344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832"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808"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784"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760"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736"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712"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688"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664"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024002pt;margin-top:35.696701pt;width:185.9pt;height:13.45pt;mso-position-horizontal-relative:page;mso-position-vertical-relative:page;z-index:-84640"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616"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24002pt;margin-top:35.696701pt;width:185.9pt;height:13.45pt;mso-position-horizontal-relative:page;mso-position-vertical-relative:page;z-index:-84592" type="#_x0000_t202" filled="false" stroked="false">
          <v:textbox inset="0,0,0,0">
            <w:txbxContent>
              <w:p>
                <w:pPr>
                  <w:spacing w:line="268" w:lineRule="exact" w:before="0"/>
                  <w:ind w:left="0" w:right="0" w:firstLine="0"/>
                  <w:jc w:val="left"/>
                  <w:rPr>
                    <w:b/>
                    <w:sz w:val="24"/>
                  </w:rPr>
                </w:pPr>
                <w:r>
                  <w:rPr>
                    <w:b/>
                    <w:color w:val="C00000"/>
                    <w:sz w:val="24"/>
                  </w:rPr>
                  <w:t>People With disabilities (WA)</w:t>
                </w:r>
                <w:r>
                  <w:rPr>
                    <w:b/>
                    <w:color w:val="C00000"/>
                    <w:spacing w:val="-10"/>
                    <w:sz w:val="24"/>
                  </w:rPr>
                  <w:t> </w:t>
                </w:r>
                <w:r>
                  <w:rPr>
                    <w:b/>
                    <w:color w:val="C00000"/>
                    <w:sz w:val="24"/>
                  </w:rPr>
                  <w:t>Inc</w:t>
                </w:r>
              </w:p>
            </w:txbxContent>
          </v:textbox>
          <w10:wrap type="none"/>
        </v:shape>
      </w:pict>
    </w:r>
    <w:r>
      <w:rPr/>
      <w:pict>
        <v:group style="position:absolute;margin-left:-.000014pt;margin-top:0pt;width:595.35pt;height:48.8pt;mso-position-horizontal-relative:page;mso-position-vertical-relative:page;z-index:-84568" coordorigin="0,0" coordsize="11907,976">
          <v:shape style="position:absolute;left:0;top:0;width:11907;height:976" type="#_x0000_t75" stroked="false">
            <v:imagedata r:id="rId1" o:title=""/>
          </v:shape>
          <v:shape style="position:absolute;left:0;top:558;width:11907;height:378" coordorigin="0,559" coordsize="11907,378" path="m9427,559l0,937,11906,672,11045,572,9427,559xe" filled="true" fillcolor="#ffffff" stroked="false">
            <v:path arrowok="t"/>
            <v:fill type="solid"/>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302" w:hanging="598"/>
        <w:jc w:val="left"/>
      </w:pPr>
      <w:rPr>
        <w:rFonts w:hint="default" w:ascii="Arial" w:hAnsi="Arial" w:eastAsia="Arial" w:cs="Arial"/>
        <w:color w:val="231F20"/>
        <w:w w:val="99"/>
        <w:sz w:val="19"/>
        <w:szCs w:val="19"/>
      </w:rPr>
    </w:lvl>
    <w:lvl w:ilvl="1">
      <w:start w:val="0"/>
      <w:numFmt w:val="bullet"/>
      <w:lvlText w:val="•"/>
      <w:lvlJc w:val="left"/>
      <w:pPr>
        <w:ind w:left="4138" w:hanging="598"/>
      </w:pPr>
      <w:rPr>
        <w:rFonts w:hint="default"/>
      </w:rPr>
    </w:lvl>
    <w:lvl w:ilvl="2">
      <w:start w:val="0"/>
      <w:numFmt w:val="bullet"/>
      <w:lvlText w:val="•"/>
      <w:lvlJc w:val="left"/>
      <w:pPr>
        <w:ind w:left="4977" w:hanging="598"/>
      </w:pPr>
      <w:rPr>
        <w:rFonts w:hint="default"/>
      </w:rPr>
    </w:lvl>
    <w:lvl w:ilvl="3">
      <w:start w:val="0"/>
      <w:numFmt w:val="bullet"/>
      <w:lvlText w:val="•"/>
      <w:lvlJc w:val="left"/>
      <w:pPr>
        <w:ind w:left="5815" w:hanging="598"/>
      </w:pPr>
      <w:rPr>
        <w:rFonts w:hint="default"/>
      </w:rPr>
    </w:lvl>
    <w:lvl w:ilvl="4">
      <w:start w:val="0"/>
      <w:numFmt w:val="bullet"/>
      <w:lvlText w:val="•"/>
      <w:lvlJc w:val="left"/>
      <w:pPr>
        <w:ind w:left="6654" w:hanging="598"/>
      </w:pPr>
      <w:rPr>
        <w:rFonts w:hint="default"/>
      </w:rPr>
    </w:lvl>
    <w:lvl w:ilvl="5">
      <w:start w:val="0"/>
      <w:numFmt w:val="bullet"/>
      <w:lvlText w:val="•"/>
      <w:lvlJc w:val="left"/>
      <w:pPr>
        <w:ind w:left="7493" w:hanging="598"/>
      </w:pPr>
      <w:rPr>
        <w:rFonts w:hint="default"/>
      </w:rPr>
    </w:lvl>
    <w:lvl w:ilvl="6">
      <w:start w:val="0"/>
      <w:numFmt w:val="bullet"/>
      <w:lvlText w:val="•"/>
      <w:lvlJc w:val="left"/>
      <w:pPr>
        <w:ind w:left="8331" w:hanging="598"/>
      </w:pPr>
      <w:rPr>
        <w:rFonts w:hint="default"/>
      </w:rPr>
    </w:lvl>
    <w:lvl w:ilvl="7">
      <w:start w:val="0"/>
      <w:numFmt w:val="bullet"/>
      <w:lvlText w:val="•"/>
      <w:lvlJc w:val="left"/>
      <w:pPr>
        <w:ind w:left="9170" w:hanging="598"/>
      </w:pPr>
      <w:rPr>
        <w:rFonts w:hint="default"/>
      </w:rPr>
    </w:lvl>
    <w:lvl w:ilvl="8">
      <w:start w:val="0"/>
      <w:numFmt w:val="bullet"/>
      <w:lvlText w:val="•"/>
      <w:lvlJc w:val="left"/>
      <w:pPr>
        <w:ind w:left="10009" w:hanging="598"/>
      </w:pPr>
      <w:rPr>
        <w:rFonts w:hint="default"/>
      </w:rPr>
    </w:lvl>
  </w:abstractNum>
  <w:abstractNum w:abstractNumId="2">
    <w:multiLevelType w:val="hybridMultilevel"/>
    <w:lvl w:ilvl="0">
      <w:start w:val="0"/>
      <w:numFmt w:val="bullet"/>
      <w:lvlText w:val=""/>
      <w:lvlJc w:val="left"/>
      <w:pPr>
        <w:ind w:left="2160" w:hanging="360"/>
      </w:pPr>
      <w:rPr>
        <w:rFonts w:hint="default" w:ascii="Symbol" w:hAnsi="Symbol" w:eastAsia="Symbol" w:cs="Symbol"/>
        <w:color w:val="231F20"/>
        <w:w w:val="100"/>
        <w:sz w:val="24"/>
        <w:szCs w:val="24"/>
      </w:rPr>
    </w:lvl>
    <w:lvl w:ilvl="1">
      <w:start w:val="0"/>
      <w:numFmt w:val="bullet"/>
      <w:lvlText w:val=""/>
      <w:lvlJc w:val="left"/>
      <w:pPr>
        <w:ind w:left="2520" w:hanging="360"/>
      </w:pPr>
      <w:rPr>
        <w:rFonts w:hint="default" w:ascii="Symbol" w:hAnsi="Symbol" w:eastAsia="Symbol" w:cs="Symbol"/>
        <w:color w:val="231F20"/>
        <w:w w:val="100"/>
        <w:sz w:val="24"/>
        <w:szCs w:val="24"/>
      </w:rPr>
    </w:lvl>
    <w:lvl w:ilvl="2">
      <w:start w:val="0"/>
      <w:numFmt w:val="bullet"/>
      <w:lvlText w:val="•"/>
      <w:lvlJc w:val="left"/>
      <w:pPr>
        <w:ind w:left="3538" w:hanging="360"/>
      </w:pPr>
      <w:rPr>
        <w:rFonts w:hint="default"/>
      </w:rPr>
    </w:lvl>
    <w:lvl w:ilvl="3">
      <w:start w:val="0"/>
      <w:numFmt w:val="bullet"/>
      <w:lvlText w:val="•"/>
      <w:lvlJc w:val="left"/>
      <w:pPr>
        <w:ind w:left="4556" w:hanging="360"/>
      </w:pPr>
      <w:rPr>
        <w:rFonts w:hint="default"/>
      </w:rPr>
    </w:lvl>
    <w:lvl w:ilvl="4">
      <w:start w:val="0"/>
      <w:numFmt w:val="bullet"/>
      <w:lvlText w:val="•"/>
      <w:lvlJc w:val="left"/>
      <w:pPr>
        <w:ind w:left="5575" w:hanging="360"/>
      </w:pPr>
      <w:rPr>
        <w:rFonts w:hint="default"/>
      </w:rPr>
    </w:lvl>
    <w:lvl w:ilvl="5">
      <w:start w:val="0"/>
      <w:numFmt w:val="bullet"/>
      <w:lvlText w:val="•"/>
      <w:lvlJc w:val="left"/>
      <w:pPr>
        <w:ind w:left="6593" w:hanging="360"/>
      </w:pPr>
      <w:rPr>
        <w:rFonts w:hint="default"/>
      </w:rPr>
    </w:lvl>
    <w:lvl w:ilvl="6">
      <w:start w:val="0"/>
      <w:numFmt w:val="bullet"/>
      <w:lvlText w:val="•"/>
      <w:lvlJc w:val="left"/>
      <w:pPr>
        <w:ind w:left="7612" w:hanging="360"/>
      </w:pPr>
      <w:rPr>
        <w:rFonts w:hint="default"/>
      </w:rPr>
    </w:lvl>
    <w:lvl w:ilvl="7">
      <w:start w:val="0"/>
      <w:numFmt w:val="bullet"/>
      <w:lvlText w:val="•"/>
      <w:lvlJc w:val="left"/>
      <w:pPr>
        <w:ind w:left="8630" w:hanging="360"/>
      </w:pPr>
      <w:rPr>
        <w:rFonts w:hint="default"/>
      </w:rPr>
    </w:lvl>
    <w:lvl w:ilvl="8">
      <w:start w:val="0"/>
      <w:numFmt w:val="bullet"/>
      <w:lvlText w:val="•"/>
      <w:lvlJc w:val="left"/>
      <w:pPr>
        <w:ind w:left="9649" w:hanging="360"/>
      </w:pPr>
      <w:rPr>
        <w:rFonts w:hint="default"/>
      </w:rPr>
    </w:lvl>
  </w:abstractNum>
  <w:abstractNum w:abstractNumId="7">
    <w:multiLevelType w:val="hybridMultilevel"/>
    <w:lvl w:ilvl="0">
      <w:start w:val="1"/>
      <w:numFmt w:val="lowerLetter"/>
      <w:lvlText w:val="(%1)"/>
      <w:lvlJc w:val="left"/>
      <w:pPr>
        <w:ind w:left="1978" w:hanging="353"/>
        <w:jc w:val="left"/>
      </w:pPr>
      <w:rPr>
        <w:rFonts w:hint="default" w:ascii="Calibri" w:hAnsi="Calibri" w:eastAsia="Calibri" w:cs="Calibri"/>
        <w:color w:val="231F20"/>
        <w:spacing w:val="-1"/>
        <w:w w:val="100"/>
        <w:sz w:val="22"/>
        <w:szCs w:val="22"/>
      </w:rPr>
    </w:lvl>
    <w:lvl w:ilvl="1">
      <w:start w:val="0"/>
      <w:numFmt w:val="bullet"/>
      <w:lvlText w:val="•"/>
      <w:lvlJc w:val="left"/>
      <w:pPr>
        <w:ind w:left="2950" w:hanging="353"/>
      </w:pPr>
      <w:rPr>
        <w:rFonts w:hint="default"/>
      </w:rPr>
    </w:lvl>
    <w:lvl w:ilvl="2">
      <w:start w:val="0"/>
      <w:numFmt w:val="bullet"/>
      <w:lvlText w:val="•"/>
      <w:lvlJc w:val="left"/>
      <w:pPr>
        <w:ind w:left="3921" w:hanging="353"/>
      </w:pPr>
      <w:rPr>
        <w:rFonts w:hint="default"/>
      </w:rPr>
    </w:lvl>
    <w:lvl w:ilvl="3">
      <w:start w:val="0"/>
      <w:numFmt w:val="bullet"/>
      <w:lvlText w:val="•"/>
      <w:lvlJc w:val="left"/>
      <w:pPr>
        <w:ind w:left="4891" w:hanging="353"/>
      </w:pPr>
      <w:rPr>
        <w:rFonts w:hint="default"/>
      </w:rPr>
    </w:lvl>
    <w:lvl w:ilvl="4">
      <w:start w:val="0"/>
      <w:numFmt w:val="bullet"/>
      <w:lvlText w:val="•"/>
      <w:lvlJc w:val="left"/>
      <w:pPr>
        <w:ind w:left="5862" w:hanging="353"/>
      </w:pPr>
      <w:rPr>
        <w:rFonts w:hint="default"/>
      </w:rPr>
    </w:lvl>
    <w:lvl w:ilvl="5">
      <w:start w:val="0"/>
      <w:numFmt w:val="bullet"/>
      <w:lvlText w:val="•"/>
      <w:lvlJc w:val="left"/>
      <w:pPr>
        <w:ind w:left="6833" w:hanging="353"/>
      </w:pPr>
      <w:rPr>
        <w:rFonts w:hint="default"/>
      </w:rPr>
    </w:lvl>
    <w:lvl w:ilvl="6">
      <w:start w:val="0"/>
      <w:numFmt w:val="bullet"/>
      <w:lvlText w:val="•"/>
      <w:lvlJc w:val="left"/>
      <w:pPr>
        <w:ind w:left="7803" w:hanging="353"/>
      </w:pPr>
      <w:rPr>
        <w:rFonts w:hint="default"/>
      </w:rPr>
    </w:lvl>
    <w:lvl w:ilvl="7">
      <w:start w:val="0"/>
      <w:numFmt w:val="bullet"/>
      <w:lvlText w:val="•"/>
      <w:lvlJc w:val="left"/>
      <w:pPr>
        <w:ind w:left="8774" w:hanging="353"/>
      </w:pPr>
      <w:rPr>
        <w:rFonts w:hint="default"/>
      </w:rPr>
    </w:lvl>
    <w:lvl w:ilvl="8">
      <w:start w:val="0"/>
      <w:numFmt w:val="bullet"/>
      <w:lvlText w:val="•"/>
      <w:lvlJc w:val="left"/>
      <w:pPr>
        <w:ind w:left="9745" w:hanging="353"/>
      </w:pPr>
      <w:rPr>
        <w:rFonts w:hint="default"/>
      </w:rPr>
    </w:lvl>
  </w:abstractNum>
  <w:abstractNum w:abstractNumId="6">
    <w:multiLevelType w:val="hybridMultilevel"/>
    <w:lvl w:ilvl="0">
      <w:start w:val="2"/>
      <w:numFmt w:val="lowerLetter"/>
      <w:lvlText w:val="%1)"/>
      <w:lvlJc w:val="left"/>
      <w:pPr>
        <w:ind w:left="559" w:hanging="510"/>
        <w:jc w:val="left"/>
      </w:pPr>
      <w:rPr>
        <w:rFonts w:hint="default" w:ascii="Calibri" w:hAnsi="Calibri" w:eastAsia="Calibri" w:cs="Calibri"/>
        <w:b/>
        <w:bCs/>
        <w:color w:val="231F20"/>
        <w:spacing w:val="-1"/>
        <w:w w:val="100"/>
        <w:sz w:val="20"/>
        <w:szCs w:val="20"/>
      </w:rPr>
    </w:lvl>
    <w:lvl w:ilvl="1">
      <w:start w:val="0"/>
      <w:numFmt w:val="bullet"/>
      <w:lvlText w:val="•"/>
      <w:lvlJc w:val="left"/>
      <w:pPr>
        <w:ind w:left="1130" w:hanging="510"/>
      </w:pPr>
      <w:rPr>
        <w:rFonts w:hint="default"/>
      </w:rPr>
    </w:lvl>
    <w:lvl w:ilvl="2">
      <w:start w:val="0"/>
      <w:numFmt w:val="bullet"/>
      <w:lvlText w:val="•"/>
      <w:lvlJc w:val="left"/>
      <w:pPr>
        <w:ind w:left="1700" w:hanging="510"/>
      </w:pPr>
      <w:rPr>
        <w:rFonts w:hint="default"/>
      </w:rPr>
    </w:lvl>
    <w:lvl w:ilvl="3">
      <w:start w:val="0"/>
      <w:numFmt w:val="bullet"/>
      <w:lvlText w:val="•"/>
      <w:lvlJc w:val="left"/>
      <w:pPr>
        <w:ind w:left="2270" w:hanging="510"/>
      </w:pPr>
      <w:rPr>
        <w:rFonts w:hint="default"/>
      </w:rPr>
    </w:lvl>
    <w:lvl w:ilvl="4">
      <w:start w:val="0"/>
      <w:numFmt w:val="bullet"/>
      <w:lvlText w:val="•"/>
      <w:lvlJc w:val="left"/>
      <w:pPr>
        <w:ind w:left="2841" w:hanging="510"/>
      </w:pPr>
      <w:rPr>
        <w:rFonts w:hint="default"/>
      </w:rPr>
    </w:lvl>
    <w:lvl w:ilvl="5">
      <w:start w:val="0"/>
      <w:numFmt w:val="bullet"/>
      <w:lvlText w:val="•"/>
      <w:lvlJc w:val="left"/>
      <w:pPr>
        <w:ind w:left="3411" w:hanging="510"/>
      </w:pPr>
      <w:rPr>
        <w:rFonts w:hint="default"/>
      </w:rPr>
    </w:lvl>
    <w:lvl w:ilvl="6">
      <w:start w:val="0"/>
      <w:numFmt w:val="bullet"/>
      <w:lvlText w:val="•"/>
      <w:lvlJc w:val="left"/>
      <w:pPr>
        <w:ind w:left="3981" w:hanging="510"/>
      </w:pPr>
      <w:rPr>
        <w:rFonts w:hint="default"/>
      </w:rPr>
    </w:lvl>
    <w:lvl w:ilvl="7">
      <w:start w:val="0"/>
      <w:numFmt w:val="bullet"/>
      <w:lvlText w:val="•"/>
      <w:lvlJc w:val="left"/>
      <w:pPr>
        <w:ind w:left="4552" w:hanging="510"/>
      </w:pPr>
      <w:rPr>
        <w:rFonts w:hint="default"/>
      </w:rPr>
    </w:lvl>
    <w:lvl w:ilvl="8">
      <w:start w:val="0"/>
      <w:numFmt w:val="bullet"/>
      <w:lvlText w:val="•"/>
      <w:lvlJc w:val="left"/>
      <w:pPr>
        <w:ind w:left="5122" w:hanging="510"/>
      </w:pPr>
      <w:rPr>
        <w:rFonts w:hint="default"/>
      </w:rPr>
    </w:lvl>
  </w:abstractNum>
  <w:abstractNum w:abstractNumId="5">
    <w:multiLevelType w:val="hybridMultilevel"/>
    <w:lvl w:ilvl="0">
      <w:start w:val="1"/>
      <w:numFmt w:val="lowerLetter"/>
      <w:lvlText w:val="(%1)"/>
      <w:lvlJc w:val="left"/>
      <w:pPr>
        <w:ind w:left="1459" w:hanging="361"/>
        <w:jc w:val="left"/>
      </w:pPr>
      <w:rPr>
        <w:rFonts w:hint="default" w:ascii="Calibri" w:hAnsi="Calibri" w:eastAsia="Calibri" w:cs="Calibri"/>
        <w:b/>
        <w:bCs/>
        <w:color w:val="231F20"/>
        <w:spacing w:val="-2"/>
        <w:w w:val="100"/>
        <w:sz w:val="20"/>
        <w:szCs w:val="20"/>
      </w:rPr>
    </w:lvl>
    <w:lvl w:ilvl="1">
      <w:start w:val="6"/>
      <w:numFmt w:val="decimal"/>
      <w:lvlText w:val="%2"/>
      <w:lvlJc w:val="left"/>
      <w:pPr>
        <w:ind w:left="2258" w:hanging="255"/>
        <w:jc w:val="left"/>
      </w:pPr>
      <w:rPr>
        <w:rFonts w:hint="default" w:ascii="Calibri" w:hAnsi="Calibri" w:eastAsia="Calibri" w:cs="Calibri"/>
        <w:b/>
        <w:bCs/>
        <w:color w:val="231F20"/>
        <w:w w:val="103"/>
        <w:sz w:val="16"/>
        <w:szCs w:val="16"/>
      </w:rPr>
    </w:lvl>
    <w:lvl w:ilvl="2">
      <w:start w:val="0"/>
      <w:numFmt w:val="bullet"/>
      <w:lvlText w:val="•"/>
      <w:lvlJc w:val="left"/>
      <w:pPr>
        <w:ind w:left="4680" w:hanging="255"/>
      </w:pPr>
      <w:rPr>
        <w:rFonts w:hint="default"/>
      </w:rPr>
    </w:lvl>
    <w:lvl w:ilvl="3">
      <w:start w:val="0"/>
      <w:numFmt w:val="bullet"/>
      <w:lvlText w:val="•"/>
      <w:lvlJc w:val="left"/>
      <w:pPr>
        <w:ind w:left="5555" w:hanging="255"/>
      </w:pPr>
      <w:rPr>
        <w:rFonts w:hint="default"/>
      </w:rPr>
    </w:lvl>
    <w:lvl w:ilvl="4">
      <w:start w:val="0"/>
      <w:numFmt w:val="bullet"/>
      <w:lvlText w:val="•"/>
      <w:lvlJc w:val="left"/>
      <w:pPr>
        <w:ind w:left="6431" w:hanging="255"/>
      </w:pPr>
      <w:rPr>
        <w:rFonts w:hint="default"/>
      </w:rPr>
    </w:lvl>
    <w:lvl w:ilvl="5">
      <w:start w:val="0"/>
      <w:numFmt w:val="bullet"/>
      <w:lvlText w:val="•"/>
      <w:lvlJc w:val="left"/>
      <w:pPr>
        <w:ind w:left="7307" w:hanging="255"/>
      </w:pPr>
      <w:rPr>
        <w:rFonts w:hint="default"/>
      </w:rPr>
    </w:lvl>
    <w:lvl w:ilvl="6">
      <w:start w:val="0"/>
      <w:numFmt w:val="bullet"/>
      <w:lvlText w:val="•"/>
      <w:lvlJc w:val="left"/>
      <w:pPr>
        <w:ind w:left="8183" w:hanging="255"/>
      </w:pPr>
      <w:rPr>
        <w:rFonts w:hint="default"/>
      </w:rPr>
    </w:lvl>
    <w:lvl w:ilvl="7">
      <w:start w:val="0"/>
      <w:numFmt w:val="bullet"/>
      <w:lvlText w:val="•"/>
      <w:lvlJc w:val="left"/>
      <w:pPr>
        <w:ind w:left="9059" w:hanging="255"/>
      </w:pPr>
      <w:rPr>
        <w:rFonts w:hint="default"/>
      </w:rPr>
    </w:lvl>
    <w:lvl w:ilvl="8">
      <w:start w:val="0"/>
      <w:numFmt w:val="bullet"/>
      <w:lvlText w:val="•"/>
      <w:lvlJc w:val="left"/>
      <w:pPr>
        <w:ind w:left="9934" w:hanging="255"/>
      </w:pPr>
      <w:rPr>
        <w:rFonts w:hint="default"/>
      </w:rPr>
    </w:lvl>
  </w:abstractNum>
  <w:abstractNum w:abstractNumId="4">
    <w:multiLevelType w:val="hybridMultilevel"/>
    <w:lvl w:ilvl="0">
      <w:start w:val="1"/>
      <w:numFmt w:val="lowerLetter"/>
      <w:lvlText w:val="%1)"/>
      <w:lvlJc w:val="left"/>
      <w:pPr>
        <w:ind w:left="3302" w:hanging="660"/>
        <w:jc w:val="left"/>
      </w:pPr>
      <w:rPr>
        <w:rFonts w:hint="default" w:ascii="Arial" w:hAnsi="Arial" w:eastAsia="Arial" w:cs="Arial"/>
        <w:color w:val="231F20"/>
        <w:w w:val="99"/>
        <w:sz w:val="19"/>
        <w:szCs w:val="19"/>
      </w:rPr>
    </w:lvl>
    <w:lvl w:ilvl="1">
      <w:start w:val="0"/>
      <w:numFmt w:val="bullet"/>
      <w:lvlText w:val="•"/>
      <w:lvlJc w:val="left"/>
      <w:pPr>
        <w:ind w:left="4138" w:hanging="660"/>
      </w:pPr>
      <w:rPr>
        <w:rFonts w:hint="default"/>
      </w:rPr>
    </w:lvl>
    <w:lvl w:ilvl="2">
      <w:start w:val="0"/>
      <w:numFmt w:val="bullet"/>
      <w:lvlText w:val="•"/>
      <w:lvlJc w:val="left"/>
      <w:pPr>
        <w:ind w:left="4977" w:hanging="660"/>
      </w:pPr>
      <w:rPr>
        <w:rFonts w:hint="default"/>
      </w:rPr>
    </w:lvl>
    <w:lvl w:ilvl="3">
      <w:start w:val="0"/>
      <w:numFmt w:val="bullet"/>
      <w:lvlText w:val="•"/>
      <w:lvlJc w:val="left"/>
      <w:pPr>
        <w:ind w:left="5815" w:hanging="660"/>
      </w:pPr>
      <w:rPr>
        <w:rFonts w:hint="default"/>
      </w:rPr>
    </w:lvl>
    <w:lvl w:ilvl="4">
      <w:start w:val="0"/>
      <w:numFmt w:val="bullet"/>
      <w:lvlText w:val="•"/>
      <w:lvlJc w:val="left"/>
      <w:pPr>
        <w:ind w:left="6654" w:hanging="660"/>
      </w:pPr>
      <w:rPr>
        <w:rFonts w:hint="default"/>
      </w:rPr>
    </w:lvl>
    <w:lvl w:ilvl="5">
      <w:start w:val="0"/>
      <w:numFmt w:val="bullet"/>
      <w:lvlText w:val="•"/>
      <w:lvlJc w:val="left"/>
      <w:pPr>
        <w:ind w:left="7493" w:hanging="660"/>
      </w:pPr>
      <w:rPr>
        <w:rFonts w:hint="default"/>
      </w:rPr>
    </w:lvl>
    <w:lvl w:ilvl="6">
      <w:start w:val="0"/>
      <w:numFmt w:val="bullet"/>
      <w:lvlText w:val="•"/>
      <w:lvlJc w:val="left"/>
      <w:pPr>
        <w:ind w:left="8331" w:hanging="660"/>
      </w:pPr>
      <w:rPr>
        <w:rFonts w:hint="default"/>
      </w:rPr>
    </w:lvl>
    <w:lvl w:ilvl="7">
      <w:start w:val="0"/>
      <w:numFmt w:val="bullet"/>
      <w:lvlText w:val="•"/>
      <w:lvlJc w:val="left"/>
      <w:pPr>
        <w:ind w:left="9170" w:hanging="660"/>
      </w:pPr>
      <w:rPr>
        <w:rFonts w:hint="default"/>
      </w:rPr>
    </w:lvl>
    <w:lvl w:ilvl="8">
      <w:start w:val="0"/>
      <w:numFmt w:val="bullet"/>
      <w:lvlText w:val="•"/>
      <w:lvlJc w:val="left"/>
      <w:pPr>
        <w:ind w:left="10009" w:hanging="660"/>
      </w:pPr>
      <w:rPr>
        <w:rFonts w:hint="default"/>
      </w:rPr>
    </w:lvl>
  </w:abstractNum>
  <w:abstractNum w:abstractNumId="1">
    <w:multiLevelType w:val="hybridMultilevel"/>
    <w:lvl w:ilvl="0">
      <w:start w:val="0"/>
      <w:numFmt w:val="bullet"/>
      <w:lvlText w:val=""/>
      <w:lvlJc w:val="left"/>
      <w:pPr>
        <w:ind w:left="2162" w:hanging="360"/>
      </w:pPr>
      <w:rPr>
        <w:rFonts w:hint="default" w:ascii="Symbol" w:hAnsi="Symbol" w:eastAsia="Symbol" w:cs="Symbol"/>
        <w:color w:val="231F20"/>
        <w:w w:val="100"/>
        <w:sz w:val="24"/>
        <w:szCs w:val="24"/>
      </w:rPr>
    </w:lvl>
    <w:lvl w:ilvl="1">
      <w:start w:val="0"/>
      <w:numFmt w:val="bullet"/>
      <w:lvlText w:val="•"/>
      <w:lvlJc w:val="left"/>
      <w:pPr>
        <w:ind w:left="3112" w:hanging="360"/>
      </w:pPr>
      <w:rPr>
        <w:rFonts w:hint="default"/>
      </w:rPr>
    </w:lvl>
    <w:lvl w:ilvl="2">
      <w:start w:val="0"/>
      <w:numFmt w:val="bullet"/>
      <w:lvlText w:val="•"/>
      <w:lvlJc w:val="left"/>
      <w:pPr>
        <w:ind w:left="4065" w:hanging="360"/>
      </w:pPr>
      <w:rPr>
        <w:rFonts w:hint="default"/>
      </w:rPr>
    </w:lvl>
    <w:lvl w:ilvl="3">
      <w:start w:val="0"/>
      <w:numFmt w:val="bullet"/>
      <w:lvlText w:val="•"/>
      <w:lvlJc w:val="left"/>
      <w:pPr>
        <w:ind w:left="5017" w:hanging="360"/>
      </w:pPr>
      <w:rPr>
        <w:rFonts w:hint="default"/>
      </w:rPr>
    </w:lvl>
    <w:lvl w:ilvl="4">
      <w:start w:val="0"/>
      <w:numFmt w:val="bullet"/>
      <w:lvlText w:val="•"/>
      <w:lvlJc w:val="left"/>
      <w:pPr>
        <w:ind w:left="5970" w:hanging="360"/>
      </w:pPr>
      <w:rPr>
        <w:rFonts w:hint="default"/>
      </w:rPr>
    </w:lvl>
    <w:lvl w:ilvl="5">
      <w:start w:val="0"/>
      <w:numFmt w:val="bullet"/>
      <w:lvlText w:val="•"/>
      <w:lvlJc w:val="left"/>
      <w:pPr>
        <w:ind w:left="6923" w:hanging="360"/>
      </w:pPr>
      <w:rPr>
        <w:rFonts w:hint="default"/>
      </w:rPr>
    </w:lvl>
    <w:lvl w:ilvl="6">
      <w:start w:val="0"/>
      <w:numFmt w:val="bullet"/>
      <w:lvlText w:val="•"/>
      <w:lvlJc w:val="left"/>
      <w:pPr>
        <w:ind w:left="7875" w:hanging="360"/>
      </w:pPr>
      <w:rPr>
        <w:rFonts w:hint="default"/>
      </w:rPr>
    </w:lvl>
    <w:lvl w:ilvl="7">
      <w:start w:val="0"/>
      <w:numFmt w:val="bullet"/>
      <w:lvlText w:val="•"/>
      <w:lvlJc w:val="left"/>
      <w:pPr>
        <w:ind w:left="8828" w:hanging="360"/>
      </w:pPr>
      <w:rPr>
        <w:rFonts w:hint="default"/>
      </w:rPr>
    </w:lvl>
    <w:lvl w:ilvl="8">
      <w:start w:val="0"/>
      <w:numFmt w:val="bullet"/>
      <w:lvlText w:val="•"/>
      <w:lvlJc w:val="left"/>
      <w:pPr>
        <w:ind w:left="9781" w:hanging="360"/>
      </w:pPr>
      <w:rPr>
        <w:rFonts w:hint="default"/>
      </w:rPr>
    </w:lvl>
  </w:abstractNum>
  <w:abstractNum w:abstractNumId="0">
    <w:multiLevelType w:val="hybridMultilevel"/>
    <w:lvl w:ilvl="0">
      <w:start w:val="0"/>
      <w:numFmt w:val="bullet"/>
      <w:lvlText w:val=""/>
      <w:lvlJc w:val="left"/>
      <w:pPr>
        <w:ind w:left="2520" w:hanging="360"/>
      </w:pPr>
      <w:rPr>
        <w:rFonts w:hint="default"/>
        <w:w w:val="100"/>
      </w:rPr>
    </w:lvl>
    <w:lvl w:ilvl="1">
      <w:start w:val="0"/>
      <w:numFmt w:val="bullet"/>
      <w:lvlText w:val="•"/>
      <w:lvlJc w:val="left"/>
      <w:pPr>
        <w:ind w:left="3436" w:hanging="360"/>
      </w:pPr>
      <w:rPr>
        <w:rFonts w:hint="default"/>
      </w:rPr>
    </w:lvl>
    <w:lvl w:ilvl="2">
      <w:start w:val="0"/>
      <w:numFmt w:val="bullet"/>
      <w:lvlText w:val="•"/>
      <w:lvlJc w:val="left"/>
      <w:pPr>
        <w:ind w:left="4353" w:hanging="360"/>
      </w:pPr>
      <w:rPr>
        <w:rFonts w:hint="default"/>
      </w:rPr>
    </w:lvl>
    <w:lvl w:ilvl="3">
      <w:start w:val="0"/>
      <w:numFmt w:val="bullet"/>
      <w:lvlText w:val="•"/>
      <w:lvlJc w:val="left"/>
      <w:pPr>
        <w:ind w:left="5269" w:hanging="360"/>
      </w:pPr>
      <w:rPr>
        <w:rFonts w:hint="default"/>
      </w:rPr>
    </w:lvl>
    <w:lvl w:ilvl="4">
      <w:start w:val="0"/>
      <w:numFmt w:val="bullet"/>
      <w:lvlText w:val="•"/>
      <w:lvlJc w:val="left"/>
      <w:pPr>
        <w:ind w:left="6186" w:hanging="360"/>
      </w:pPr>
      <w:rPr>
        <w:rFonts w:hint="default"/>
      </w:rPr>
    </w:lvl>
    <w:lvl w:ilvl="5">
      <w:start w:val="0"/>
      <w:numFmt w:val="bullet"/>
      <w:lvlText w:val="•"/>
      <w:lvlJc w:val="left"/>
      <w:pPr>
        <w:ind w:left="7103" w:hanging="360"/>
      </w:pPr>
      <w:rPr>
        <w:rFonts w:hint="default"/>
      </w:rPr>
    </w:lvl>
    <w:lvl w:ilvl="6">
      <w:start w:val="0"/>
      <w:numFmt w:val="bullet"/>
      <w:lvlText w:val="•"/>
      <w:lvlJc w:val="left"/>
      <w:pPr>
        <w:ind w:left="8019" w:hanging="360"/>
      </w:pPr>
      <w:rPr>
        <w:rFonts w:hint="default"/>
      </w:rPr>
    </w:lvl>
    <w:lvl w:ilvl="7">
      <w:start w:val="0"/>
      <w:numFmt w:val="bullet"/>
      <w:lvlText w:val="•"/>
      <w:lvlJc w:val="left"/>
      <w:pPr>
        <w:ind w:left="8936" w:hanging="360"/>
      </w:pPr>
      <w:rPr>
        <w:rFonts w:hint="default"/>
      </w:rPr>
    </w:lvl>
    <w:lvl w:ilvl="8">
      <w:start w:val="0"/>
      <w:numFmt w:val="bullet"/>
      <w:lvlText w:val="•"/>
      <w:lvlJc w:val="left"/>
      <w:pPr>
        <w:ind w:left="9853" w:hanging="360"/>
      </w:pPr>
      <w:rPr>
        <w:rFonts w:hint="default"/>
      </w:rPr>
    </w:lvl>
  </w:abstractNum>
  <w:num w:numId="4">
    <w:abstractNumId w:val="3"/>
  </w:num>
  <w:num w:numId="3">
    <w:abstractNumId w:val="2"/>
  </w:num>
  <w:num w:numId="8">
    <w:abstractNumId w:val="7"/>
  </w:num>
  <w:num w:numId="7">
    <w:abstractNumId w:val="6"/>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2"/>
      <w:ind w:left="144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92"/>
      <w:ind w:left="1800"/>
      <w:outlineLvl w:val="1"/>
    </w:pPr>
    <w:rPr>
      <w:rFonts w:ascii="Arial" w:hAnsi="Arial" w:eastAsia="Arial" w:cs="Arial"/>
      <w:b/>
      <w:bCs/>
      <w:sz w:val="28"/>
      <w:szCs w:val="28"/>
    </w:rPr>
  </w:style>
  <w:style w:styleId="Heading2" w:type="paragraph">
    <w:name w:val="Heading 2"/>
    <w:basedOn w:val="Normal"/>
    <w:uiPriority w:val="1"/>
    <w:qFormat/>
    <w:pPr>
      <w:ind w:left="899"/>
      <w:jc w:val="center"/>
      <w:outlineLvl w:val="2"/>
    </w:pPr>
    <w:rPr>
      <w:rFonts w:ascii="Calibri" w:hAnsi="Calibri" w:eastAsia="Calibri" w:cs="Calibri"/>
      <w:b/>
      <w:bCs/>
      <w:sz w:val="26"/>
      <w:szCs w:val="26"/>
    </w:rPr>
  </w:style>
  <w:style w:styleId="Heading3" w:type="paragraph">
    <w:name w:val="Heading 3"/>
    <w:basedOn w:val="Normal"/>
    <w:uiPriority w:val="1"/>
    <w:qFormat/>
    <w:pPr>
      <w:spacing w:line="268" w:lineRule="exact"/>
      <w:outlineLvl w:val="3"/>
    </w:pPr>
    <w:rPr>
      <w:rFonts w:ascii="Arial" w:hAnsi="Arial" w:eastAsia="Arial" w:cs="Arial"/>
      <w:b/>
      <w:bCs/>
      <w:sz w:val="24"/>
      <w:szCs w:val="24"/>
    </w:rPr>
  </w:style>
  <w:style w:styleId="Heading4" w:type="paragraph">
    <w:name w:val="Heading 4"/>
    <w:basedOn w:val="Normal"/>
    <w:uiPriority w:val="1"/>
    <w:qFormat/>
    <w:pPr>
      <w:ind w:left="1800"/>
      <w:jc w:val="both"/>
      <w:outlineLvl w:val="4"/>
    </w:pPr>
    <w:rPr>
      <w:rFonts w:ascii="Arial" w:hAnsi="Arial" w:eastAsia="Arial" w:cs="Arial"/>
      <w:b/>
      <w:bCs/>
      <w:i/>
      <w:sz w:val="24"/>
      <w:szCs w:val="24"/>
    </w:rPr>
  </w:style>
  <w:style w:styleId="ListParagraph" w:type="paragraph">
    <w:name w:val="List Paragraph"/>
    <w:basedOn w:val="Normal"/>
    <w:uiPriority w:val="1"/>
    <w:qFormat/>
    <w:pPr>
      <w:ind w:left="2520" w:hanging="360"/>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9.jpe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11.jpeg"/><Relationship Id="rId16" Type="http://schemas.openxmlformats.org/officeDocument/2006/relationships/header" Target="header3.xml"/><Relationship Id="rId17" Type="http://schemas.openxmlformats.org/officeDocument/2006/relationships/image" Target="media/image12.jpeg"/><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eader" Target="header6.xml"/><Relationship Id="rId23" Type="http://schemas.openxmlformats.org/officeDocument/2006/relationships/image" Target="media/image15.jpeg"/><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image" Target="media/image16.jpeg"/><Relationship Id="rId27" Type="http://schemas.openxmlformats.org/officeDocument/2006/relationships/header" Target="header9.xml"/><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header" Target="header10.xml"/><Relationship Id="rId31" Type="http://schemas.openxmlformats.org/officeDocument/2006/relationships/image" Target="media/image19.jpeg"/><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header" Target="header15.xml"/><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image" Target="media/image20.jpeg"/><Relationship Id="rId41" Type="http://schemas.openxmlformats.org/officeDocument/2006/relationships/header" Target="header19.xml"/><Relationship Id="rId42" Type="http://schemas.openxmlformats.org/officeDocument/2006/relationships/image" Target="media/image21.jpeg"/><Relationship Id="rId43" Type="http://schemas.openxmlformats.org/officeDocument/2006/relationships/hyperlink" Target="http://www.pwdwa.org/" TargetMode="External"/><Relationship Id="rId44" Type="http://schemas.openxmlformats.org/officeDocument/2006/relationships/header" Target="header20.xml"/><Relationship Id="rId45" Type="http://schemas.openxmlformats.org/officeDocument/2006/relationships/image" Target="media/image22.jpeg"/><Relationship Id="rId46" Type="http://schemas.openxmlformats.org/officeDocument/2006/relationships/hyperlink" Target="http://www.releasingourcapacity.com/" TargetMode="External"/><Relationship Id="rId47" Type="http://schemas.openxmlformats.org/officeDocument/2006/relationships/header" Target="header21.xml"/><Relationship Id="rId48" Type="http://schemas.openxmlformats.org/officeDocument/2006/relationships/hyperlink" Target="http://www.ahuri.edu.au/publications/projects/p71040" TargetMode="External"/><Relationship Id="rId49" Type="http://schemas.openxmlformats.org/officeDocument/2006/relationships/header" Target="header22.xml"/><Relationship Id="rId50" Type="http://schemas.openxmlformats.org/officeDocument/2006/relationships/header" Target="header23.xml"/><Relationship Id="rId51" Type="http://schemas.openxmlformats.org/officeDocument/2006/relationships/image" Target="media/image23.jpeg"/><Relationship Id="rId52" Type="http://schemas.openxmlformats.org/officeDocument/2006/relationships/header" Target="header24.xml"/><Relationship Id="rId53" Type="http://schemas.openxmlformats.org/officeDocument/2006/relationships/image" Target="media/image24.jpeg"/><Relationship Id="rId54" Type="http://schemas.openxmlformats.org/officeDocument/2006/relationships/header" Target="header25.xml"/><Relationship Id="rId55" Type="http://schemas.openxmlformats.org/officeDocument/2006/relationships/header" Target="header26.xml"/><Relationship Id="rId56" Type="http://schemas.openxmlformats.org/officeDocument/2006/relationships/header" Target="header27.xml"/><Relationship Id="rId57" Type="http://schemas.openxmlformats.org/officeDocument/2006/relationships/header" Target="header28.xml"/><Relationship Id="rId58" Type="http://schemas.openxmlformats.org/officeDocument/2006/relationships/image" Target="media/image25.jpeg"/><Relationship Id="rId59" Type="http://schemas.openxmlformats.org/officeDocument/2006/relationships/header" Target="header29.xml"/><Relationship Id="rId60" Type="http://schemas.openxmlformats.org/officeDocument/2006/relationships/footer" Target="footer3.xml"/><Relationship Id="rId61" Type="http://schemas.openxmlformats.org/officeDocument/2006/relationships/image" Target="media/image7.png"/><Relationship Id="rId62" Type="http://schemas.openxmlformats.org/officeDocument/2006/relationships/image" Target="media/image27.png"/><Relationship Id="rId63" Type="http://schemas.openxmlformats.org/officeDocument/2006/relationships/footer" Target="footer4.xml"/><Relationship Id="rId64" Type="http://schemas.openxmlformats.org/officeDocument/2006/relationships/header" Target="header30.xml"/><Relationship Id="rId65" Type="http://schemas.openxmlformats.org/officeDocument/2006/relationships/footer" Target="footer5.xml"/><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26.jpeg"/><Relationship Id="rId69" Type="http://schemas.openxmlformats.org/officeDocument/2006/relationships/header" Target="header31.xml"/><Relationship Id="rId70" Type="http://schemas.openxmlformats.org/officeDocument/2006/relationships/footer" Target="footer6.xml"/><Relationship Id="rId71" Type="http://schemas.openxmlformats.org/officeDocument/2006/relationships/image" Target="media/image32.png"/><Relationship Id="rId72" Type="http://schemas.openxmlformats.org/officeDocument/2006/relationships/header" Target="header32.xml"/><Relationship Id="rId73" Type="http://schemas.openxmlformats.org/officeDocument/2006/relationships/image" Target="media/image33.jpeg"/><Relationship Id="rId74" Type="http://schemas.openxmlformats.org/officeDocument/2006/relationships/header" Target="header33.xml"/><Relationship Id="rId75" Type="http://schemas.openxmlformats.org/officeDocument/2006/relationships/footer" Target="footer7.xml"/><Relationship Id="rId76" Type="http://schemas.openxmlformats.org/officeDocument/2006/relationships/footer" Target="footer8.xml"/><Relationship Id="rId77" Type="http://schemas.openxmlformats.org/officeDocument/2006/relationships/header" Target="header34.xml"/><Relationship Id="rId78" Type="http://schemas.openxmlformats.org/officeDocument/2006/relationships/footer" Target="footer9.xml"/><Relationship Id="rId79" Type="http://schemas.openxmlformats.org/officeDocument/2006/relationships/header" Target="header35.xml"/><Relationship Id="rId80" Type="http://schemas.openxmlformats.org/officeDocument/2006/relationships/footer" Target="footer10.xml"/><Relationship Id="rId81" Type="http://schemas.openxmlformats.org/officeDocument/2006/relationships/header" Target="header36.xml"/><Relationship Id="rId82" Type="http://schemas.openxmlformats.org/officeDocument/2006/relationships/footer" Target="footer11.xml"/><Relationship Id="rId83" Type="http://schemas.openxmlformats.org/officeDocument/2006/relationships/hyperlink" Target="mailto:info@pwdwa.org" TargetMode="External"/><Relationship Id="rId8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1.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4.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5.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26.jpeg"/></Relationships>

</file>

<file path=word/_rels/header33.xml.rels><?xml version="1.0" encoding="UTF-8" standalone="yes"?>
<Relationships xmlns="http://schemas.openxmlformats.org/package/2006/relationships"><Relationship Id="rId1" Type="http://schemas.openxmlformats.org/officeDocument/2006/relationships/image" Target="media/image26.jpeg"/></Relationships>

</file>

<file path=word/_rels/header34.xml.rels><?xml version="1.0" encoding="UTF-8" standalone="yes"?>
<Relationships xmlns="http://schemas.openxmlformats.org/package/2006/relationships"><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2018-03-29T05:24:21Z</dcterms:created>
  <dcterms:modified xsi:type="dcterms:W3CDTF">2018-03-29T05:24:21Z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2015-09-17T00:00:00Z</vt:filetime>
  </property>
  <property fmtid="{D5CDD505-2E9C-101B-9397-08002B2CF9AE}" pid="3" name="Creator">
    <vt:lpwstr>Adobe InDesign CC 2015 (Macintosh)</vt:lpwstr>
  </property>
  <property fmtid="{D5CDD505-2E9C-101B-9397-08002B2CF9AE}" pid="4" name="LastSaved">
    <vt:filetime>2018-03-29T00:00:00Z</vt:filetime>
  </property>
</Properties>
</file>