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CDEF" w14:textId="4EF7AD32" w:rsidR="00A973D1" w:rsidRPr="00A973D1" w:rsidRDefault="24EE4D0F" w:rsidP="1E096166">
      <w:pPr>
        <w:pStyle w:val="paragraph"/>
        <w:spacing w:before="0" w:beforeAutospacing="0" w:after="24" w:afterAutospacing="0" w:line="360" w:lineRule="auto"/>
        <w:textAlignment w:val="baseline"/>
        <w:rPr>
          <w:rStyle w:val="normaltextrun"/>
          <w:b/>
          <w:bCs/>
          <w:color w:val="00000A"/>
          <w:lang w:val="en"/>
        </w:rPr>
      </w:pPr>
      <w:r>
        <w:rPr>
          <w:noProof/>
        </w:rPr>
        <w:drawing>
          <wp:inline distT="0" distB="0" distL="0" distR="0" wp14:anchorId="77C0AEBE" wp14:editId="027CB335">
            <wp:extent cx="1028700" cy="2451370"/>
            <wp:effectExtent l="0" t="0" r="0" b="6350"/>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9619" cy="2453560"/>
                    </a:xfrm>
                    <a:prstGeom prst="rect">
                      <a:avLst/>
                    </a:prstGeom>
                    <a:noFill/>
                    <a:ln>
                      <a:noFill/>
                    </a:ln>
                  </pic:spPr>
                </pic:pic>
              </a:graphicData>
            </a:graphic>
          </wp:inline>
        </w:drawing>
      </w:r>
      <w:bookmarkStart w:id="0" w:name="_Toc415734350"/>
      <w:r w:rsidR="004D1152">
        <w:rPr>
          <w:rStyle w:val="normaltextrun"/>
          <w:b/>
          <w:bCs/>
          <w:color w:val="00000A"/>
          <w:lang w:val="en"/>
        </w:rPr>
        <w:tab/>
      </w:r>
      <w:r w:rsidR="004D1152">
        <w:rPr>
          <w:rStyle w:val="normaltextrun"/>
          <w:b/>
          <w:bCs/>
          <w:color w:val="00000A"/>
          <w:lang w:val="en"/>
        </w:rPr>
        <w:tab/>
      </w:r>
      <w:r w:rsidR="004D1152">
        <w:rPr>
          <w:rStyle w:val="normaltextrun"/>
          <w:b/>
          <w:bCs/>
          <w:color w:val="00000A"/>
          <w:lang w:val="en"/>
        </w:rPr>
        <w:tab/>
      </w:r>
      <w:r w:rsidR="004D1152">
        <w:rPr>
          <w:rStyle w:val="normaltextrun"/>
          <w:b/>
          <w:bCs/>
          <w:color w:val="00000A"/>
          <w:lang w:val="en"/>
        </w:rPr>
        <w:tab/>
      </w:r>
    </w:p>
    <w:p w14:paraId="09054875" w14:textId="5172C5AF" w:rsidR="00A973D1" w:rsidRPr="00A973D1" w:rsidRDefault="00A973D1" w:rsidP="1E096166">
      <w:pPr>
        <w:pStyle w:val="paragraph"/>
        <w:spacing w:before="0" w:beforeAutospacing="0" w:after="24" w:afterAutospacing="0" w:line="360" w:lineRule="auto"/>
        <w:textAlignment w:val="baseline"/>
        <w:rPr>
          <w:rStyle w:val="normaltextrun"/>
          <w:b/>
          <w:bCs/>
          <w:color w:val="00000A"/>
          <w:lang w:val="en"/>
        </w:rPr>
      </w:pPr>
      <w:bookmarkStart w:id="1" w:name="_Hlk54772330"/>
      <w:bookmarkEnd w:id="1"/>
    </w:p>
    <w:p w14:paraId="266298AB"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AB96BA0" w:rsidR="00A973D1" w:rsidRPr="00A973D1" w:rsidRDefault="00A973D1" w:rsidP="1E096166">
      <w:pPr>
        <w:pStyle w:val="paragraph"/>
        <w:spacing w:before="0" w:beforeAutospacing="0" w:after="24" w:afterAutospacing="0" w:line="360" w:lineRule="auto"/>
        <w:textAlignment w:val="baseline"/>
        <w:rPr>
          <w:rFonts w:ascii="Arial" w:eastAsia="Arial" w:hAnsi="Arial" w:cs="Arial"/>
        </w:rPr>
      </w:pPr>
      <w:r w:rsidRPr="1E096166">
        <w:rPr>
          <w:rStyle w:val="normaltextrun"/>
          <w:rFonts w:ascii="Arial" w:eastAsia="Arial" w:hAnsi="Arial" w:cs="Arial"/>
          <w:b/>
          <w:bCs/>
          <w:color w:val="00000A"/>
          <w:sz w:val="36"/>
          <w:szCs w:val="36"/>
          <w:lang w:val="en"/>
        </w:rPr>
        <w:t>Submission</w:t>
      </w:r>
      <w:r w:rsidRPr="1E096166">
        <w:rPr>
          <w:rStyle w:val="eop"/>
          <w:rFonts w:ascii="Arial" w:eastAsia="Arial" w:hAnsi="Arial" w:cs="Arial"/>
          <w:color w:val="00000A"/>
          <w:sz w:val="36"/>
          <w:szCs w:val="36"/>
        </w:rPr>
        <w:t> </w:t>
      </w:r>
    </w:p>
    <w:p w14:paraId="6BB4D49E" w14:textId="5C42EFA1" w:rsidR="2532682F" w:rsidRDefault="2532682F" w:rsidP="1E096166">
      <w:pPr>
        <w:pStyle w:val="paragraph"/>
        <w:spacing w:before="0" w:beforeAutospacing="0" w:after="24" w:afterAutospacing="0" w:line="360" w:lineRule="auto"/>
        <w:rPr>
          <w:rStyle w:val="normaltextrun"/>
          <w:rFonts w:ascii="Arial" w:eastAsia="Arial" w:hAnsi="Arial" w:cs="Arial"/>
          <w:b/>
          <w:bCs/>
          <w:color w:val="00000A"/>
          <w:sz w:val="36"/>
          <w:szCs w:val="36"/>
          <w:lang w:val="en"/>
        </w:rPr>
      </w:pPr>
      <w:r w:rsidRPr="1E096166">
        <w:rPr>
          <w:rStyle w:val="normaltextrun"/>
          <w:rFonts w:ascii="Arial" w:eastAsia="Arial" w:hAnsi="Arial" w:cs="Arial"/>
          <w:b/>
          <w:bCs/>
          <w:color w:val="00000A"/>
          <w:sz w:val="36"/>
          <w:szCs w:val="36"/>
          <w:lang w:val="en"/>
        </w:rPr>
        <w:t>Review of the Equal Opportunity Act 1984 (WA)</w:t>
      </w:r>
    </w:p>
    <w:p w14:paraId="50EDCC44" w14:textId="54594D4B" w:rsidR="2532682F" w:rsidRDefault="2532682F" w:rsidP="63751B69">
      <w:pPr>
        <w:pStyle w:val="paragraph"/>
        <w:spacing w:before="0" w:beforeAutospacing="0" w:after="24" w:afterAutospacing="0" w:line="360" w:lineRule="auto"/>
        <w:rPr>
          <w:rStyle w:val="normaltextrun"/>
          <w:u w:val="single"/>
          <w:lang w:val="en-GB"/>
        </w:rPr>
      </w:pPr>
      <w:r w:rsidRPr="1E096166">
        <w:rPr>
          <w:rStyle w:val="normaltextrun"/>
          <w:rFonts w:ascii="Arial" w:hAnsi="Arial" w:cs="Arial"/>
          <w:u w:val="single"/>
          <w:lang w:val="en-GB"/>
        </w:rPr>
        <w:t>Law Reform Commission WA</w:t>
      </w:r>
    </w:p>
    <w:p w14:paraId="7E6628BD"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1ECF0E6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7DF432A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2575D478" w:rsidR="00A973D1" w:rsidRDefault="00452930"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Pr>
          <w:rStyle w:val="normaltextrun"/>
          <w:rFonts w:ascii="Arial" w:hAnsi="Arial" w:cs="Arial"/>
          <w:b/>
          <w:bCs/>
          <w:color w:val="000000"/>
          <w:lang w:val="en-GB"/>
        </w:rPr>
        <w:t xml:space="preserve">Chief </w:t>
      </w:r>
      <w:r w:rsidR="00A973D1" w:rsidRPr="00A973D1">
        <w:rPr>
          <w:rStyle w:val="normaltextrun"/>
          <w:rFonts w:ascii="Arial" w:hAnsi="Arial" w:cs="Arial"/>
          <w:b/>
          <w:bCs/>
          <w:color w:val="000000"/>
          <w:lang w:val="en-GB"/>
        </w:rPr>
        <w:t xml:space="preserve">Executive </w:t>
      </w:r>
      <w:r>
        <w:rPr>
          <w:rStyle w:val="normaltextrun"/>
          <w:rFonts w:ascii="Arial" w:hAnsi="Arial" w:cs="Arial"/>
          <w:b/>
          <w:bCs/>
          <w:color w:val="000000"/>
          <w:lang w:val="en-GB"/>
        </w:rPr>
        <w:t>Officer</w:t>
      </w:r>
      <w:r w:rsidR="00A973D1" w:rsidRPr="00A973D1">
        <w:rPr>
          <w:rStyle w:val="normaltextrun"/>
          <w:rFonts w:ascii="Arial" w:hAnsi="Arial" w:cs="Arial"/>
          <w:b/>
          <w:bCs/>
          <w:color w:val="000000"/>
          <w:lang w:val="en-GB"/>
        </w:rPr>
        <w:t>: Brendan Cullinan</w:t>
      </w:r>
      <w:r w:rsidR="00A973D1" w:rsidRPr="00A973D1">
        <w:rPr>
          <w:rStyle w:val="eop"/>
          <w:rFonts w:ascii="Arial" w:eastAsiaTheme="minorEastAsia" w:hAnsi="Arial" w:cs="Arial"/>
          <w:color w:val="000000"/>
        </w:rPr>
        <w:t> </w:t>
      </w:r>
    </w:p>
    <w:p w14:paraId="51248FC6" w14:textId="300B38F9" w:rsidR="00A973D1" w:rsidRPr="00A973D1" w:rsidRDefault="00A973D1" w:rsidP="1E096166">
      <w:pPr>
        <w:pStyle w:val="paragraph"/>
        <w:spacing w:before="0" w:beforeAutospacing="0" w:after="24" w:afterAutospacing="0" w:line="360" w:lineRule="auto"/>
        <w:textAlignment w:val="baseline"/>
        <w:rPr>
          <w:rFonts w:ascii="Arial" w:hAnsi="Arial" w:cs="Arial"/>
          <w:b/>
          <w:bCs/>
          <w:sz w:val="18"/>
          <w:szCs w:val="18"/>
        </w:rPr>
      </w:pPr>
      <w:r w:rsidRPr="1E096166">
        <w:rPr>
          <w:rStyle w:val="eop"/>
          <w:rFonts w:ascii="Arial" w:eastAsiaTheme="minorEastAsia" w:hAnsi="Arial" w:cs="Arial"/>
          <w:b/>
          <w:bCs/>
          <w:color w:val="000000" w:themeColor="text1"/>
        </w:rPr>
        <w:t>Author</w:t>
      </w:r>
      <w:r w:rsidR="00A336AB" w:rsidRPr="1E096166">
        <w:rPr>
          <w:rStyle w:val="eop"/>
          <w:rFonts w:ascii="Arial" w:eastAsiaTheme="minorEastAsia" w:hAnsi="Arial" w:cs="Arial"/>
          <w:b/>
          <w:bCs/>
          <w:color w:val="000000" w:themeColor="text1"/>
        </w:rPr>
        <w:t xml:space="preserve">: </w:t>
      </w:r>
      <w:r w:rsidR="454BA7FE" w:rsidRPr="1E096166">
        <w:rPr>
          <w:rStyle w:val="eop"/>
          <w:rFonts w:ascii="Arial" w:eastAsiaTheme="minorEastAsia" w:hAnsi="Arial" w:cs="Arial"/>
          <w:b/>
          <w:bCs/>
          <w:color w:val="000000" w:themeColor="text1"/>
        </w:rPr>
        <w:t>Brianna Lee</w:t>
      </w:r>
    </w:p>
    <w:p w14:paraId="50725236" w14:textId="18A36F4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 xml:space="preserve">People </w:t>
      </w:r>
      <w:r w:rsidR="00452930">
        <w:rPr>
          <w:rStyle w:val="normaltextrun"/>
          <w:rFonts w:ascii="Arial" w:hAnsi="Arial" w:cs="Arial"/>
          <w:b/>
          <w:bCs/>
          <w:color w:val="000000"/>
          <w:lang w:val="en-GB"/>
        </w:rPr>
        <w:t>W</w:t>
      </w:r>
      <w:r w:rsidRPr="00A973D1">
        <w:rPr>
          <w:rStyle w:val="normaltextrun"/>
          <w:rFonts w:ascii="Arial" w:hAnsi="Arial" w:cs="Arial"/>
          <w:b/>
          <w:bCs/>
          <w:color w:val="000000"/>
          <w:lang w:val="en-GB"/>
        </w:rPr>
        <w:t>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2"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0A31C4C"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3" w:tgtFrame="_blank" w:history="1">
        <w:r w:rsidRPr="00A973D1">
          <w:rPr>
            <w:rStyle w:val="normaltextrun"/>
            <w:rFonts w:ascii="Arial" w:hAnsi="Arial" w:cs="Arial"/>
            <w:color w:val="0000FF"/>
            <w:u w:val="single"/>
            <w:lang w:val="en-GB"/>
          </w:rPr>
          <w:t>http://www.pwdwa.org</w:t>
        </w:r>
      </w:hyperlink>
    </w:p>
    <w:p w14:paraId="79BD4935" w14:textId="77777777" w:rsidR="00A973D1" w:rsidRPr="00A973D1" w:rsidRDefault="00A973D1" w:rsidP="00A973D1">
      <w:pPr>
        <w:pStyle w:val="paragraph"/>
        <w:spacing w:before="0" w:beforeAutospacing="0" w:after="24" w:afterAutospacing="0" w:line="360" w:lineRule="auto"/>
        <w:ind w:left="-1140"/>
        <w:textAlignment w:val="baseline"/>
        <w:rPr>
          <w:rFonts w:ascii="Arial" w:hAnsi="Arial" w:cs="Arial"/>
          <w:sz w:val="18"/>
          <w:szCs w:val="18"/>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255EEB20" w14:textId="2414292F" w:rsidR="00A973D1" w:rsidRPr="00A973D1" w:rsidRDefault="00A973D1" w:rsidP="1E096166">
      <w:pPr>
        <w:pStyle w:val="paragraph"/>
        <w:spacing w:before="0" w:beforeAutospacing="0" w:after="24" w:afterAutospacing="0" w:line="360" w:lineRule="auto"/>
        <w:textAlignment w:val="baseline"/>
        <w:rPr>
          <w:rStyle w:val="eop"/>
          <w:b/>
          <w:bCs/>
        </w:rPr>
      </w:pPr>
      <w:r w:rsidRPr="00A973D1">
        <w:rPr>
          <w:rFonts w:ascii="Arial" w:hAnsi="Arial" w:cs="Arial"/>
          <w:noProof/>
          <w:color w:val="2F5496"/>
          <w:sz w:val="32"/>
          <w:szCs w:val="32"/>
          <w:lang w:val="en-US"/>
        </w:rPr>
        <w:tab/>
      </w:r>
      <w:r w:rsidRPr="00A973D1">
        <w:rPr>
          <w:rFonts w:ascii="Arial" w:hAnsi="Arial" w:cs="Arial"/>
          <w:noProof/>
          <w:color w:val="2F5496"/>
          <w:sz w:val="32"/>
          <w:szCs w:val="32"/>
          <w:lang w:val="en-US"/>
        </w:rPr>
        <w:tab/>
      </w:r>
    </w:p>
    <w:p w14:paraId="16407CE0" w14:textId="778CB19F" w:rsidR="00A973D1" w:rsidRPr="00A973D1" w:rsidRDefault="00A973D1" w:rsidP="1E096166">
      <w:pPr>
        <w:pStyle w:val="paragraph"/>
        <w:spacing w:before="0" w:beforeAutospacing="0" w:after="24" w:afterAutospacing="0" w:line="360" w:lineRule="auto"/>
        <w:textAlignment w:val="baseline"/>
        <w:rPr>
          <w:rStyle w:val="eop"/>
          <w:b/>
          <w:bCs/>
        </w:rPr>
      </w:pPr>
    </w:p>
    <w:p w14:paraId="0B0FD4E2" w14:textId="197E909B" w:rsidR="00A973D1" w:rsidRPr="00A973D1" w:rsidRDefault="00A973D1" w:rsidP="1E096166">
      <w:pPr>
        <w:pStyle w:val="paragraph"/>
        <w:spacing w:before="0" w:beforeAutospacing="0" w:after="24" w:afterAutospacing="0" w:line="360" w:lineRule="auto"/>
        <w:textAlignment w:val="baseline"/>
        <w:rPr>
          <w:rStyle w:val="eop"/>
          <w:b/>
          <w:bCs/>
        </w:rPr>
      </w:pPr>
    </w:p>
    <w:p w14:paraId="0483AE52" w14:textId="5EEEA7CC" w:rsidR="00A973D1" w:rsidRPr="00A973D1" w:rsidRDefault="00A973D1" w:rsidP="1E096166">
      <w:pPr>
        <w:pStyle w:val="paragraph"/>
        <w:spacing w:before="0" w:beforeAutospacing="0" w:after="24" w:afterAutospacing="0" w:line="360" w:lineRule="auto"/>
        <w:textAlignment w:val="baseline"/>
        <w:rPr>
          <w:rStyle w:val="eop"/>
          <w:b/>
          <w:bCs/>
        </w:rPr>
      </w:pPr>
    </w:p>
    <w:p w14:paraId="28B77997" w14:textId="404476C0" w:rsidR="00A973D1" w:rsidRPr="00A973D1" w:rsidRDefault="00A973D1" w:rsidP="00A973D1">
      <w:pPr>
        <w:pStyle w:val="paragraph"/>
        <w:spacing w:before="0" w:beforeAutospacing="0" w:after="24" w:afterAutospacing="0" w:line="360" w:lineRule="auto"/>
        <w:textAlignment w:val="baseline"/>
        <w:rPr>
          <w:rFonts w:ascii="Arial" w:hAnsi="Arial" w:cs="Arial"/>
          <w:b/>
          <w:bCs/>
          <w:color w:val="5B9BD5"/>
          <w:sz w:val="18"/>
          <w:szCs w:val="18"/>
        </w:rPr>
      </w:pPr>
      <w:r w:rsidRPr="00A973D1">
        <w:rPr>
          <w:rStyle w:val="normaltextrun"/>
          <w:rFonts w:ascii="Arial" w:hAnsi="Arial" w:cs="Arial"/>
          <w:b/>
          <w:bCs/>
          <w:sz w:val="32"/>
          <w:szCs w:val="32"/>
          <w:lang w:val="en-GB"/>
        </w:rPr>
        <w:t xml:space="preserve">People </w:t>
      </w:r>
      <w:r w:rsidR="00452930">
        <w:rPr>
          <w:rStyle w:val="normaltextrun"/>
          <w:rFonts w:ascii="Arial" w:hAnsi="Arial" w:cs="Arial"/>
          <w:b/>
          <w:bCs/>
          <w:sz w:val="32"/>
          <w:szCs w:val="32"/>
          <w:lang w:val="en-GB"/>
        </w:rPr>
        <w:t>W</w:t>
      </w:r>
      <w:r w:rsidRPr="00A973D1">
        <w:rPr>
          <w:rStyle w:val="normaltextrun"/>
          <w:rFonts w:ascii="Arial" w:hAnsi="Arial" w:cs="Arial"/>
          <w:b/>
          <w:bCs/>
          <w:sz w:val="32"/>
          <w:szCs w:val="32"/>
          <w:lang w:val="en-GB"/>
        </w:rPr>
        <w:t>ith disabilities WA (PWdWA)</w:t>
      </w:r>
      <w:r w:rsidRPr="00A973D1">
        <w:rPr>
          <w:rStyle w:val="eop"/>
          <w:rFonts w:ascii="Arial" w:eastAsiaTheme="minorEastAsia" w:hAnsi="Arial" w:cs="Arial"/>
          <w:b/>
          <w:bCs/>
          <w:sz w:val="32"/>
          <w:szCs w:val="32"/>
        </w:rPr>
        <w:t> </w:t>
      </w:r>
    </w:p>
    <w:p w14:paraId="21C052B3" w14:textId="73EA50F2" w:rsidR="00A973D1" w:rsidRPr="00A973D1" w:rsidRDefault="00A973D1" w:rsidP="63751B69">
      <w:pPr>
        <w:pStyle w:val="paragraph"/>
        <w:spacing w:before="0" w:beforeAutospacing="0" w:after="24" w:afterAutospacing="0" w:line="360" w:lineRule="auto"/>
        <w:textAlignment w:val="baseline"/>
        <w:rPr>
          <w:rFonts w:ascii="Arial" w:hAnsi="Arial" w:cs="Arial"/>
          <w:sz w:val="18"/>
          <w:szCs w:val="18"/>
        </w:rPr>
      </w:pPr>
      <w:r w:rsidRPr="1E096166">
        <w:rPr>
          <w:rStyle w:val="normaltextrun"/>
          <w:rFonts w:ascii="Arial" w:hAnsi="Arial" w:cs="Arial"/>
          <w:lang w:val="en-GB"/>
        </w:rPr>
        <w:t xml:space="preserve">Since 1981 PWdWA has been the </w:t>
      </w:r>
      <w:r w:rsidR="6A287A4C" w:rsidRPr="1E096166">
        <w:rPr>
          <w:rStyle w:val="normaltextrun"/>
          <w:rFonts w:ascii="Arial" w:hAnsi="Arial" w:cs="Arial"/>
          <w:color w:val="000000" w:themeColor="text1"/>
          <w:lang w:val="en-GB"/>
        </w:rPr>
        <w:t>lead member-based disability advocacy organisation</w:t>
      </w:r>
      <w:r w:rsidRPr="1E096166">
        <w:rPr>
          <w:rStyle w:val="normaltextrun"/>
          <w:rFonts w:ascii="Arial" w:hAnsi="Arial" w:cs="Arial"/>
          <w:lang w:val="en-GB"/>
        </w:rPr>
        <w:t xml:space="preserve">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1E096166">
        <w:rPr>
          <w:rStyle w:val="eop"/>
          <w:rFonts w:ascii="Arial" w:eastAsiaTheme="minorEastAsia" w:hAnsi="Arial" w:cs="Arial"/>
        </w:rPr>
        <w:t> </w:t>
      </w:r>
    </w:p>
    <w:p w14:paraId="4E1B48B1" w14:textId="74F97257" w:rsidR="1C355F41" w:rsidRDefault="1C355F41" w:rsidP="1E096166">
      <w:pPr>
        <w:pStyle w:val="paragraph"/>
        <w:spacing w:before="0" w:beforeAutospacing="0" w:after="24" w:afterAutospacing="0" w:line="360" w:lineRule="auto"/>
        <w:rPr>
          <w:rFonts w:ascii="Arial" w:hAnsi="Arial" w:cs="Arial"/>
          <w:sz w:val="18"/>
          <w:szCs w:val="18"/>
        </w:rPr>
      </w:pPr>
      <w:r w:rsidRPr="1E096166">
        <w:rPr>
          <w:rStyle w:val="normaltextrun"/>
          <w:rFonts w:ascii="Arial" w:hAnsi="Arial" w:cs="Arial"/>
          <w:color w:val="000000" w:themeColor="text1"/>
          <w:lang w:val="en-GB"/>
        </w:rPr>
        <w:t>PWdWA is run BY and FOR people with disabilities and, as such, strives to be the voice for all people with disabilities in Western Australia.</w:t>
      </w:r>
      <w:r w:rsidRPr="1E096166">
        <w:rPr>
          <w:rStyle w:val="eop"/>
          <w:rFonts w:ascii="Arial" w:eastAsiaTheme="minorEastAsia" w:hAnsi="Arial" w:cs="Arial"/>
          <w:color w:val="000000" w:themeColor="text1"/>
        </w:rPr>
        <w:t> </w:t>
      </w: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29DCEFCD" w14:textId="2B3E2DEA" w:rsidR="4FE18349" w:rsidRDefault="00A973D1" w:rsidP="1E096166">
      <w:pPr>
        <w:pStyle w:val="paragraph"/>
        <w:spacing w:before="0" w:beforeAutospacing="0" w:after="24" w:afterAutospacing="0" w:line="360" w:lineRule="auto"/>
        <w:rPr>
          <w:rStyle w:val="eop"/>
          <w:rFonts w:ascii="Arial" w:eastAsiaTheme="minorEastAsia" w:hAnsi="Arial" w:cs="Arial"/>
          <w:b/>
          <w:bCs/>
          <w:sz w:val="32"/>
          <w:szCs w:val="32"/>
        </w:rPr>
      </w:pPr>
      <w:r w:rsidRPr="1E096166">
        <w:rPr>
          <w:rStyle w:val="normaltextrun"/>
          <w:rFonts w:ascii="Arial" w:hAnsi="Arial" w:cs="Arial"/>
          <w:b/>
          <w:bCs/>
          <w:sz w:val="32"/>
          <w:szCs w:val="32"/>
          <w:lang w:val="en-GB"/>
        </w:rPr>
        <w:t>Introduction </w:t>
      </w:r>
      <w:r w:rsidRPr="1E096166">
        <w:rPr>
          <w:rStyle w:val="eop"/>
          <w:rFonts w:ascii="Arial" w:eastAsiaTheme="minorEastAsia" w:hAnsi="Arial" w:cs="Arial"/>
          <w:b/>
          <w:bCs/>
          <w:sz w:val="32"/>
          <w:szCs w:val="32"/>
        </w:rPr>
        <w:t> </w:t>
      </w:r>
    </w:p>
    <w:p w14:paraId="60B35504" w14:textId="23740767" w:rsidR="4FE18349" w:rsidRDefault="7AB4CF7C" w:rsidP="775B0364">
      <w:pPr>
        <w:pStyle w:val="paragraph"/>
        <w:spacing w:before="0" w:beforeAutospacing="0" w:after="24" w:afterAutospacing="0" w:line="360" w:lineRule="auto"/>
        <w:rPr>
          <w:rFonts w:ascii="Arial" w:eastAsia="Arial" w:hAnsi="Arial" w:cs="Arial"/>
          <w:color w:val="000000" w:themeColor="text1"/>
        </w:rPr>
      </w:pPr>
      <w:r w:rsidRPr="775B0364">
        <w:rPr>
          <w:rStyle w:val="normaltextrun"/>
          <w:rFonts w:ascii="Arial" w:hAnsi="Arial" w:cs="Arial"/>
          <w:color w:val="000000" w:themeColor="text1"/>
          <w:lang w:val="en-GB"/>
        </w:rPr>
        <w:t>People with Disabilities (WA) Inc. (PWdWA) would like to thank the Law Reform Commission WA</w:t>
      </w:r>
      <w:r w:rsidRPr="775B0364">
        <w:rPr>
          <w:rStyle w:val="normaltextrun"/>
          <w:rFonts w:ascii="Arial" w:hAnsi="Arial" w:cs="Arial"/>
          <w:color w:val="00000A"/>
          <w:lang w:val="en"/>
        </w:rPr>
        <w:t> </w:t>
      </w:r>
      <w:r w:rsidRPr="775B0364">
        <w:rPr>
          <w:rStyle w:val="normaltextrun"/>
          <w:rFonts w:ascii="Arial" w:hAnsi="Arial" w:cs="Arial"/>
          <w:color w:val="000000" w:themeColor="text1"/>
          <w:lang w:val="en-GB"/>
        </w:rPr>
        <w:t>for the opportunity to provide comment for their review into the Equal Opportunity Act 1984 WA (the Act).</w:t>
      </w:r>
      <w:r w:rsidRPr="775B0364">
        <w:rPr>
          <w:rStyle w:val="eop"/>
          <w:rFonts w:ascii="Arial" w:eastAsiaTheme="minorEastAsia" w:hAnsi="Arial" w:cs="Arial"/>
          <w:color w:val="000000" w:themeColor="text1"/>
        </w:rPr>
        <w:t> </w:t>
      </w:r>
      <w:r w:rsidR="338D10CB" w:rsidRPr="775B0364">
        <w:rPr>
          <w:rStyle w:val="eop"/>
          <w:rFonts w:ascii="Arial" w:eastAsiaTheme="minorEastAsia" w:hAnsi="Arial" w:cs="Arial"/>
          <w:color w:val="000000" w:themeColor="text1"/>
        </w:rPr>
        <w:t xml:space="preserve"> </w:t>
      </w:r>
      <w:r w:rsidR="4FE18349" w:rsidRPr="775B0364">
        <w:rPr>
          <w:rFonts w:ascii="Arial" w:eastAsia="Arial" w:hAnsi="Arial" w:cs="Arial"/>
          <w:color w:val="000000" w:themeColor="text1"/>
          <w:lang w:val="en-GB"/>
        </w:rPr>
        <w:t xml:space="preserve">PWdWA receives both state and federal funding to provide advocacy around issues experienced by the WA community including discrimination. </w:t>
      </w:r>
      <w:r w:rsidR="4FE18349" w:rsidRPr="775B0364">
        <w:rPr>
          <w:rFonts w:ascii="Arial" w:eastAsia="Arial" w:hAnsi="Arial" w:cs="Arial"/>
          <w:color w:val="000000" w:themeColor="text1"/>
        </w:rPr>
        <w:t>Our submission is compiled on the experiences of people with disability, their families, and carers. Our responses are also informed through PWdWA collaboration with other advocacy and disability organisations. We have provided case studies where appropriate to furnish our statements.</w:t>
      </w:r>
    </w:p>
    <w:p w14:paraId="5CAD5A9E" w14:textId="7DC3207A" w:rsidR="4FE18349" w:rsidRDefault="4FE18349" w:rsidP="775B0364">
      <w:pPr>
        <w:spacing w:beforeAutospacing="1" w:after="160" w:afterAutospacing="1"/>
        <w:rPr>
          <w:rFonts w:eastAsia="Arial" w:cs="Arial"/>
          <w:color w:val="000000" w:themeColor="text1"/>
          <w:sz w:val="24"/>
          <w:szCs w:val="24"/>
          <w:lang w:val="en-AU"/>
        </w:rPr>
      </w:pPr>
      <w:r w:rsidRPr="775B0364">
        <w:rPr>
          <w:rFonts w:eastAsia="Arial" w:cs="Arial"/>
          <w:color w:val="000000" w:themeColor="text1"/>
          <w:sz w:val="24"/>
          <w:szCs w:val="24"/>
          <w:lang w:val="en-AU"/>
        </w:rPr>
        <w:t xml:space="preserve">The scope of this review is comprehensive given the various Grounds for discrimination covered by the Act. </w:t>
      </w:r>
      <w:r w:rsidR="46C4B748" w:rsidRPr="775B0364">
        <w:rPr>
          <w:rFonts w:eastAsia="Arial" w:cs="Arial"/>
          <w:color w:val="000000" w:themeColor="text1"/>
          <w:sz w:val="24"/>
          <w:szCs w:val="24"/>
          <w:lang w:val="en-AU"/>
        </w:rPr>
        <w:t xml:space="preserve">As an organisation whose focus is providing advocacy for people with </w:t>
      </w:r>
      <w:r w:rsidR="05699C7A" w:rsidRPr="775B0364">
        <w:rPr>
          <w:rFonts w:eastAsia="Arial" w:cs="Arial"/>
          <w:color w:val="000000" w:themeColor="text1"/>
          <w:sz w:val="24"/>
          <w:szCs w:val="24"/>
          <w:lang w:val="en-AU"/>
        </w:rPr>
        <w:t>disabilities</w:t>
      </w:r>
      <w:r w:rsidR="46C4B748" w:rsidRPr="775B0364">
        <w:rPr>
          <w:rFonts w:eastAsia="Arial" w:cs="Arial"/>
          <w:color w:val="000000" w:themeColor="text1"/>
          <w:sz w:val="24"/>
          <w:szCs w:val="24"/>
          <w:lang w:val="en-AU"/>
        </w:rPr>
        <w:t xml:space="preserve"> our submission is limited to the terms of reference specifically </w:t>
      </w:r>
      <w:r w:rsidR="32E456A9" w:rsidRPr="775B0364">
        <w:rPr>
          <w:rFonts w:eastAsia="Arial" w:cs="Arial"/>
          <w:color w:val="000000" w:themeColor="text1"/>
          <w:sz w:val="24"/>
          <w:szCs w:val="24"/>
          <w:lang w:val="en-AU"/>
        </w:rPr>
        <w:t>relating to disability</w:t>
      </w:r>
      <w:r w:rsidR="1F234254" w:rsidRPr="775B0364">
        <w:rPr>
          <w:rFonts w:eastAsia="Arial" w:cs="Arial"/>
          <w:color w:val="000000" w:themeColor="text1"/>
          <w:sz w:val="24"/>
          <w:szCs w:val="24"/>
          <w:lang w:val="en-AU"/>
        </w:rPr>
        <w:t>, or where we have provided individual advocacy</w:t>
      </w:r>
      <w:r w:rsidR="32E456A9" w:rsidRPr="775B0364">
        <w:rPr>
          <w:rFonts w:eastAsia="Arial" w:cs="Arial"/>
          <w:color w:val="000000" w:themeColor="text1"/>
          <w:sz w:val="24"/>
          <w:szCs w:val="24"/>
          <w:lang w:val="en-AU"/>
        </w:rPr>
        <w:t xml:space="preserve">. We acknowledge that many people with disabilities will have experienced issues of discrimination relating to other Grounds under the Act, </w:t>
      </w:r>
      <w:r w:rsidR="3E2C1D69" w:rsidRPr="775B0364">
        <w:rPr>
          <w:rFonts w:eastAsia="Arial" w:cs="Arial"/>
          <w:color w:val="000000" w:themeColor="text1"/>
          <w:sz w:val="24"/>
          <w:szCs w:val="24"/>
          <w:lang w:val="en-AU"/>
        </w:rPr>
        <w:t>and in many cases these Grounds will intersect. As an organisation we do not however, have the capacity to explore that intersectionality in any depth in this submission.</w:t>
      </w:r>
      <w:r w:rsidR="0EFC6183" w:rsidRPr="775B0364">
        <w:rPr>
          <w:rFonts w:eastAsia="Arial" w:cs="Arial"/>
          <w:color w:val="000000" w:themeColor="text1"/>
          <w:sz w:val="24"/>
          <w:szCs w:val="24"/>
          <w:lang w:val="en-AU"/>
        </w:rPr>
        <w:t xml:space="preserve"> It is our hope that other submissions will provide this information.</w:t>
      </w:r>
    </w:p>
    <w:p w14:paraId="4EBD0AA8" w14:textId="656B9E34" w:rsidR="63751B69" w:rsidRDefault="63751B69" w:rsidP="63751B69">
      <w:pPr>
        <w:pStyle w:val="paragraph"/>
        <w:spacing w:before="0" w:beforeAutospacing="0" w:after="24" w:afterAutospacing="0" w:line="360" w:lineRule="auto"/>
        <w:rPr>
          <w:rStyle w:val="eop"/>
        </w:rPr>
      </w:pPr>
    </w:p>
    <w:p w14:paraId="6CA121BB" w14:textId="77777777" w:rsidR="002E03D9" w:rsidRDefault="002E03D9" w:rsidP="63751B69">
      <w:pPr>
        <w:pStyle w:val="paragraph"/>
        <w:spacing w:before="0" w:beforeAutospacing="0" w:after="24" w:afterAutospacing="0" w:line="360" w:lineRule="auto"/>
        <w:rPr>
          <w:rStyle w:val="eop"/>
        </w:rPr>
      </w:pPr>
    </w:p>
    <w:p w14:paraId="2D31F773" w14:textId="4B3C870B" w:rsidR="0EFC6183" w:rsidRDefault="0EFC6183" w:rsidP="63751B69">
      <w:pPr>
        <w:pStyle w:val="paragraph"/>
        <w:spacing w:before="0" w:beforeAutospacing="0" w:after="24" w:afterAutospacing="0" w:line="360" w:lineRule="auto"/>
        <w:rPr>
          <w:rStyle w:val="eop"/>
          <w:rFonts w:ascii="Arial" w:eastAsiaTheme="minorEastAsia" w:hAnsi="Arial" w:cs="Arial"/>
          <w:b/>
          <w:bCs/>
          <w:sz w:val="32"/>
          <w:szCs w:val="32"/>
        </w:rPr>
      </w:pPr>
      <w:r w:rsidRPr="1E096166">
        <w:rPr>
          <w:rStyle w:val="eop"/>
          <w:rFonts w:ascii="Arial" w:eastAsiaTheme="minorEastAsia" w:hAnsi="Arial" w:cs="Arial"/>
          <w:b/>
          <w:bCs/>
          <w:sz w:val="32"/>
          <w:szCs w:val="32"/>
        </w:rPr>
        <w:lastRenderedPageBreak/>
        <w:t>Terms of Reference</w:t>
      </w:r>
    </w:p>
    <w:p w14:paraId="4183BA16" w14:textId="5B42BA60" w:rsidR="78222D0B" w:rsidRDefault="78222D0B" w:rsidP="775B0364">
      <w:pPr>
        <w:spacing w:before="0" w:after="0"/>
        <w:rPr>
          <w:rFonts w:eastAsia="Arial" w:cs="Arial"/>
          <w:b/>
          <w:bCs/>
          <w:color w:val="000000" w:themeColor="text1"/>
          <w:sz w:val="24"/>
          <w:szCs w:val="24"/>
          <w:lang w:val="en-AU"/>
        </w:rPr>
      </w:pPr>
      <w:r w:rsidRPr="775B0364">
        <w:rPr>
          <w:rFonts w:eastAsia="Arial" w:cs="Arial"/>
          <w:b/>
          <w:bCs/>
          <w:color w:val="000000" w:themeColor="text1"/>
          <w:sz w:val="24"/>
          <w:szCs w:val="24"/>
          <w:lang w:val="en-AU"/>
        </w:rPr>
        <w:t>Objects of the Act</w:t>
      </w:r>
    </w:p>
    <w:p w14:paraId="06BBD677" w14:textId="4171BEE1" w:rsidR="1C238DC1" w:rsidRDefault="1C238DC1" w:rsidP="775B0364">
      <w:pPr>
        <w:spacing w:before="0" w:after="0"/>
        <w:rPr>
          <w:rFonts w:eastAsia="Arial" w:cs="Arial"/>
          <w:color w:val="000000" w:themeColor="text1"/>
          <w:sz w:val="24"/>
          <w:szCs w:val="24"/>
          <w:lang w:val="en-AU"/>
        </w:rPr>
      </w:pPr>
      <w:r w:rsidRPr="775B0364">
        <w:rPr>
          <w:rFonts w:eastAsia="Arial" w:cs="Arial"/>
          <w:color w:val="000000" w:themeColor="text1"/>
          <w:sz w:val="24"/>
          <w:szCs w:val="24"/>
          <w:lang w:val="en-AU"/>
        </w:rPr>
        <w:t>PWdWA supports the amendment of the Act’s objectives to</w:t>
      </w:r>
      <w:r w:rsidR="490BDCB4" w:rsidRPr="775B0364">
        <w:rPr>
          <w:rFonts w:eastAsia="Arial" w:cs="Arial"/>
          <w:color w:val="000000" w:themeColor="text1"/>
          <w:sz w:val="24"/>
          <w:szCs w:val="24"/>
          <w:lang w:val="en-AU"/>
        </w:rPr>
        <w:t xml:space="preserve"> explicitly</w:t>
      </w:r>
      <w:r w:rsidRPr="775B0364">
        <w:rPr>
          <w:rFonts w:eastAsia="Arial" w:cs="Arial"/>
          <w:color w:val="000000" w:themeColor="text1"/>
          <w:sz w:val="24"/>
          <w:szCs w:val="24"/>
          <w:lang w:val="en-AU"/>
        </w:rPr>
        <w:t xml:space="preserve"> include the identification and elimination of systemic causes of discrimination</w:t>
      </w:r>
      <w:r w:rsidR="76F55F8D" w:rsidRPr="775B0364">
        <w:rPr>
          <w:rFonts w:eastAsia="Arial" w:cs="Arial"/>
          <w:color w:val="000000" w:themeColor="text1"/>
          <w:sz w:val="24"/>
          <w:szCs w:val="24"/>
          <w:lang w:val="en-AU"/>
        </w:rPr>
        <w:t xml:space="preserve"> and to promote both formal and substantive equality</w:t>
      </w:r>
      <w:r w:rsidRPr="775B0364">
        <w:rPr>
          <w:rFonts w:eastAsia="Arial" w:cs="Arial"/>
          <w:color w:val="000000" w:themeColor="text1"/>
          <w:sz w:val="24"/>
          <w:szCs w:val="24"/>
          <w:lang w:val="en-AU"/>
        </w:rPr>
        <w:t xml:space="preserve">. This </w:t>
      </w:r>
      <w:r w:rsidR="0A66F783" w:rsidRPr="775B0364">
        <w:rPr>
          <w:rFonts w:eastAsia="Arial" w:cs="Arial"/>
          <w:color w:val="000000" w:themeColor="text1"/>
          <w:sz w:val="24"/>
          <w:szCs w:val="24"/>
          <w:lang w:val="en-AU"/>
        </w:rPr>
        <w:t xml:space="preserve">would frame the Act as a more proactive piece of legislation and </w:t>
      </w:r>
      <w:r w:rsidRPr="775B0364">
        <w:rPr>
          <w:rFonts w:eastAsia="Arial" w:cs="Arial"/>
          <w:color w:val="000000" w:themeColor="text1"/>
          <w:sz w:val="24"/>
          <w:szCs w:val="24"/>
          <w:lang w:val="en-AU"/>
        </w:rPr>
        <w:t xml:space="preserve">supports recommendations </w:t>
      </w:r>
      <w:r w:rsidR="757E329F" w:rsidRPr="775B0364">
        <w:rPr>
          <w:rFonts w:eastAsia="Arial" w:cs="Arial"/>
          <w:color w:val="000000" w:themeColor="text1"/>
          <w:sz w:val="24"/>
          <w:szCs w:val="24"/>
          <w:lang w:val="en-AU"/>
        </w:rPr>
        <w:t>we make below which increase the scope of the E</w:t>
      </w:r>
      <w:r w:rsidR="340C0737" w:rsidRPr="775B0364">
        <w:rPr>
          <w:rFonts w:eastAsia="Arial" w:cs="Arial"/>
          <w:color w:val="000000" w:themeColor="text1"/>
          <w:sz w:val="24"/>
          <w:szCs w:val="24"/>
          <w:lang w:val="en-AU"/>
        </w:rPr>
        <w:t xml:space="preserve">qual </w:t>
      </w:r>
      <w:r w:rsidR="757E329F" w:rsidRPr="775B0364">
        <w:rPr>
          <w:rFonts w:eastAsia="Arial" w:cs="Arial"/>
          <w:color w:val="000000" w:themeColor="text1"/>
          <w:sz w:val="24"/>
          <w:szCs w:val="24"/>
          <w:lang w:val="en-AU"/>
        </w:rPr>
        <w:t>O</w:t>
      </w:r>
      <w:r w:rsidR="60015B5E" w:rsidRPr="775B0364">
        <w:rPr>
          <w:rFonts w:eastAsia="Arial" w:cs="Arial"/>
          <w:color w:val="000000" w:themeColor="text1"/>
          <w:sz w:val="24"/>
          <w:szCs w:val="24"/>
          <w:lang w:val="en-AU"/>
        </w:rPr>
        <w:t xml:space="preserve">pportunity </w:t>
      </w:r>
      <w:r w:rsidR="757E329F" w:rsidRPr="775B0364">
        <w:rPr>
          <w:rFonts w:eastAsia="Arial" w:cs="Arial"/>
          <w:color w:val="000000" w:themeColor="text1"/>
          <w:sz w:val="24"/>
          <w:szCs w:val="24"/>
          <w:lang w:val="en-AU"/>
        </w:rPr>
        <w:t>C</w:t>
      </w:r>
      <w:r w:rsidR="2799AB94" w:rsidRPr="775B0364">
        <w:rPr>
          <w:rFonts w:eastAsia="Arial" w:cs="Arial"/>
          <w:color w:val="000000" w:themeColor="text1"/>
          <w:sz w:val="24"/>
          <w:szCs w:val="24"/>
          <w:lang w:val="en-AU"/>
        </w:rPr>
        <w:t>ommission (EOC)</w:t>
      </w:r>
      <w:r w:rsidR="757E329F" w:rsidRPr="775B0364">
        <w:rPr>
          <w:rFonts w:eastAsia="Arial" w:cs="Arial"/>
          <w:color w:val="000000" w:themeColor="text1"/>
          <w:sz w:val="24"/>
          <w:szCs w:val="24"/>
          <w:lang w:val="en-AU"/>
        </w:rPr>
        <w:t xml:space="preserve"> to undertake investigations without the need for individual complaints.</w:t>
      </w:r>
    </w:p>
    <w:p w14:paraId="765A48A9" w14:textId="1F461A37" w:rsidR="666E8FEE" w:rsidRDefault="666E8FEE" w:rsidP="1E096166">
      <w:pPr>
        <w:spacing w:after="160"/>
        <w:rPr>
          <w:rFonts w:eastAsia="Arial" w:cs="Arial"/>
          <w:color w:val="000000" w:themeColor="text1"/>
          <w:sz w:val="24"/>
          <w:szCs w:val="24"/>
          <w:lang w:val="en-AU"/>
        </w:rPr>
      </w:pPr>
      <w:r w:rsidRPr="1E096166">
        <w:rPr>
          <w:rFonts w:eastAsia="Arial" w:cs="Arial"/>
          <w:color w:val="000000" w:themeColor="text1"/>
          <w:sz w:val="24"/>
          <w:szCs w:val="24"/>
          <w:lang w:val="en-AU"/>
        </w:rPr>
        <w:t>We also support the introduction of an interpretive provision which state</w:t>
      </w:r>
      <w:r w:rsidR="00604E1C">
        <w:rPr>
          <w:rFonts w:eastAsia="Arial" w:cs="Arial"/>
          <w:color w:val="000000" w:themeColor="text1"/>
          <w:sz w:val="24"/>
          <w:szCs w:val="24"/>
          <w:lang w:val="en-AU"/>
        </w:rPr>
        <w:t>s</w:t>
      </w:r>
      <w:r w:rsidRPr="1E096166">
        <w:rPr>
          <w:rFonts w:eastAsia="Arial" w:cs="Arial"/>
          <w:color w:val="000000" w:themeColor="text1"/>
          <w:sz w:val="24"/>
          <w:szCs w:val="24"/>
          <w:lang w:val="en-AU"/>
        </w:rPr>
        <w:t xml:space="preserve"> the Act must be interpreted in a way that is beneficial to the person whi</w:t>
      </w:r>
      <w:r w:rsidR="60FAF456" w:rsidRPr="1E096166">
        <w:rPr>
          <w:rFonts w:eastAsia="Arial" w:cs="Arial"/>
          <w:color w:val="000000" w:themeColor="text1"/>
          <w:sz w:val="24"/>
          <w:szCs w:val="24"/>
          <w:lang w:val="en-AU"/>
        </w:rPr>
        <w:t>ch</w:t>
      </w:r>
      <w:r w:rsidRPr="1E096166">
        <w:rPr>
          <w:rFonts w:eastAsia="Arial" w:cs="Arial"/>
          <w:color w:val="000000" w:themeColor="text1"/>
          <w:sz w:val="24"/>
          <w:szCs w:val="24"/>
          <w:lang w:val="en-AU"/>
        </w:rPr>
        <w:t xml:space="preserve"> h</w:t>
      </w:r>
      <w:r w:rsidR="5A945DF2" w:rsidRPr="1E096166">
        <w:rPr>
          <w:rFonts w:eastAsia="Arial" w:cs="Arial"/>
          <w:color w:val="000000" w:themeColor="text1"/>
          <w:sz w:val="24"/>
          <w:szCs w:val="24"/>
          <w:lang w:val="en-AU"/>
        </w:rPr>
        <w:t xml:space="preserve">as the </w:t>
      </w:r>
      <w:r w:rsidR="4C5CF336" w:rsidRPr="1E096166">
        <w:rPr>
          <w:rFonts w:eastAsia="Arial" w:cs="Arial"/>
          <w:color w:val="000000" w:themeColor="text1"/>
          <w:sz w:val="24"/>
          <w:szCs w:val="24"/>
          <w:lang w:val="en-AU"/>
        </w:rPr>
        <w:t>protected</w:t>
      </w:r>
      <w:r w:rsidR="5A945DF2" w:rsidRPr="1E096166">
        <w:rPr>
          <w:rFonts w:eastAsia="Arial" w:cs="Arial"/>
          <w:color w:val="000000" w:themeColor="text1"/>
          <w:sz w:val="24"/>
          <w:szCs w:val="24"/>
          <w:lang w:val="en-AU"/>
        </w:rPr>
        <w:t xml:space="preserve"> </w:t>
      </w:r>
      <w:r w:rsidR="2E658E2A" w:rsidRPr="1E096166">
        <w:rPr>
          <w:rFonts w:eastAsia="Arial" w:cs="Arial"/>
          <w:color w:val="000000" w:themeColor="text1"/>
          <w:sz w:val="24"/>
          <w:szCs w:val="24"/>
          <w:lang w:val="en-AU"/>
        </w:rPr>
        <w:t>attribute</w:t>
      </w:r>
      <w:r w:rsidR="5A945DF2" w:rsidRPr="1E096166">
        <w:rPr>
          <w:rFonts w:eastAsia="Arial" w:cs="Arial"/>
          <w:color w:val="000000" w:themeColor="text1"/>
          <w:sz w:val="24"/>
          <w:szCs w:val="24"/>
          <w:lang w:val="en-AU"/>
        </w:rPr>
        <w:t xml:space="preserve">, or combination of </w:t>
      </w:r>
      <w:r w:rsidR="093009B9" w:rsidRPr="1E096166">
        <w:rPr>
          <w:rFonts w:eastAsia="Arial" w:cs="Arial"/>
          <w:color w:val="000000" w:themeColor="text1"/>
          <w:sz w:val="24"/>
          <w:szCs w:val="24"/>
          <w:lang w:val="en-AU"/>
        </w:rPr>
        <w:t>attributes</w:t>
      </w:r>
      <w:r w:rsidR="5A945DF2" w:rsidRPr="1E096166">
        <w:rPr>
          <w:rFonts w:eastAsia="Arial" w:cs="Arial"/>
          <w:color w:val="000000" w:themeColor="text1"/>
          <w:sz w:val="24"/>
          <w:szCs w:val="24"/>
          <w:lang w:val="en-AU"/>
        </w:rPr>
        <w:t xml:space="preserve">, to the extent possible. </w:t>
      </w:r>
      <w:r w:rsidR="4BFB5485" w:rsidRPr="1E096166">
        <w:rPr>
          <w:rFonts w:eastAsia="Arial" w:cs="Arial"/>
          <w:color w:val="000000" w:themeColor="text1"/>
          <w:sz w:val="24"/>
          <w:szCs w:val="24"/>
          <w:lang w:val="en-AU"/>
        </w:rPr>
        <w:t xml:space="preserve">We feel this interpretive provision would be </w:t>
      </w:r>
      <w:r w:rsidR="6B91DFEF" w:rsidRPr="1E096166">
        <w:rPr>
          <w:rFonts w:eastAsia="Arial" w:cs="Arial"/>
          <w:color w:val="000000" w:themeColor="text1"/>
          <w:sz w:val="24"/>
          <w:szCs w:val="24"/>
          <w:lang w:val="en-AU"/>
        </w:rPr>
        <w:t>useful in guiding decision about whether a reasonable adjustment constitutes an unjustifiable hardship.</w:t>
      </w:r>
    </w:p>
    <w:p w14:paraId="1DF4C11F" w14:textId="0D8BAE69" w:rsidR="0EFC6183" w:rsidRDefault="0EFC6183" w:rsidP="775B0364">
      <w:pPr>
        <w:spacing w:before="0" w:after="0"/>
        <w:rPr>
          <w:rFonts w:eastAsia="Arial" w:cs="Arial"/>
          <w:color w:val="000000" w:themeColor="text1"/>
          <w:sz w:val="24"/>
          <w:szCs w:val="24"/>
          <w:lang w:val="en-AU"/>
        </w:rPr>
      </w:pPr>
      <w:r w:rsidRPr="775B0364">
        <w:rPr>
          <w:rFonts w:eastAsia="Arial" w:cs="Arial"/>
          <w:b/>
          <w:bCs/>
          <w:color w:val="000000" w:themeColor="text1"/>
          <w:sz w:val="24"/>
          <w:szCs w:val="24"/>
          <w:lang w:val="en-AU"/>
        </w:rPr>
        <w:t>Definition of Discrimination</w:t>
      </w:r>
    </w:p>
    <w:p w14:paraId="3997C72A" w14:textId="54A80D60" w:rsidR="0EFC6183" w:rsidRDefault="0EFC6183" w:rsidP="775B0364">
      <w:pPr>
        <w:spacing w:before="0" w:after="0"/>
        <w:rPr>
          <w:rFonts w:eastAsia="Arial" w:cs="Arial"/>
          <w:color w:val="000000" w:themeColor="text1"/>
          <w:sz w:val="24"/>
          <w:szCs w:val="24"/>
          <w:lang w:val="en-US"/>
        </w:rPr>
      </w:pPr>
      <w:r w:rsidRPr="775B0364">
        <w:rPr>
          <w:rFonts w:eastAsia="Arial" w:cs="Arial"/>
          <w:color w:val="000000" w:themeColor="text1"/>
          <w:sz w:val="24"/>
          <w:szCs w:val="24"/>
          <w:lang w:val="en-AU"/>
        </w:rPr>
        <w:t xml:space="preserve">PWdWA supports the introduction of a clear definition of discrimination into the Act, including clearly defining direct </w:t>
      </w:r>
      <w:r w:rsidR="5897BA1C" w:rsidRPr="775B0364">
        <w:rPr>
          <w:rFonts w:eastAsia="Arial" w:cs="Arial"/>
          <w:color w:val="000000" w:themeColor="text1"/>
          <w:sz w:val="24"/>
          <w:szCs w:val="24"/>
          <w:lang w:val="en-AU"/>
        </w:rPr>
        <w:t>and</w:t>
      </w:r>
      <w:r w:rsidRPr="775B0364">
        <w:rPr>
          <w:rFonts w:eastAsia="Arial" w:cs="Arial"/>
          <w:color w:val="000000" w:themeColor="text1"/>
          <w:sz w:val="24"/>
          <w:szCs w:val="24"/>
          <w:lang w:val="en-AU"/>
        </w:rPr>
        <w:t xml:space="preserve"> indirect discrimination. A single definition covering all the various Grounds would help to simplify and streamline the Act.</w:t>
      </w:r>
    </w:p>
    <w:p w14:paraId="7F2F57D4" w14:textId="53D50F91" w:rsidR="0EFC6183" w:rsidRDefault="0EFC6183" w:rsidP="775B0364">
      <w:pPr>
        <w:spacing w:before="0" w:after="0"/>
        <w:rPr>
          <w:rFonts w:eastAsia="Arial" w:cs="Arial"/>
          <w:color w:val="000000" w:themeColor="text1"/>
          <w:sz w:val="24"/>
          <w:szCs w:val="24"/>
          <w:lang w:val="en-AU"/>
        </w:rPr>
      </w:pPr>
      <w:r w:rsidRPr="775B0364">
        <w:rPr>
          <w:rFonts w:eastAsia="Arial" w:cs="Arial"/>
          <w:color w:val="000000" w:themeColor="text1"/>
          <w:sz w:val="24"/>
          <w:szCs w:val="24"/>
          <w:lang w:val="en-AU"/>
        </w:rPr>
        <w:t xml:space="preserve">In defining indirect and direct discrimination, if the comparator test is to continue to be applied, the term </w:t>
      </w:r>
      <w:r w:rsidRPr="775B0364">
        <w:rPr>
          <w:rFonts w:eastAsia="Arial" w:cs="Arial"/>
          <w:i/>
          <w:iCs/>
          <w:color w:val="000000" w:themeColor="text1"/>
          <w:sz w:val="24"/>
          <w:szCs w:val="24"/>
          <w:lang w:val="en-AU"/>
        </w:rPr>
        <w:t>materially different</w:t>
      </w:r>
      <w:r w:rsidRPr="775B0364">
        <w:rPr>
          <w:rFonts w:eastAsia="Arial" w:cs="Arial"/>
          <w:color w:val="000000" w:themeColor="text1"/>
          <w:sz w:val="24"/>
          <w:szCs w:val="24"/>
          <w:lang w:val="en-AU"/>
        </w:rPr>
        <w:t xml:space="preserve"> must be defined. We recommend adopting the approach taken by the </w:t>
      </w:r>
      <w:r w:rsidR="00D3695D">
        <w:rPr>
          <w:rFonts w:eastAsia="Arial" w:cs="Arial"/>
          <w:color w:val="000000" w:themeColor="text1"/>
          <w:sz w:val="24"/>
          <w:szCs w:val="24"/>
          <w:lang w:val="en-AU"/>
        </w:rPr>
        <w:t xml:space="preserve">Disability Discrimination Act </w:t>
      </w:r>
      <w:r w:rsidR="00D3695D" w:rsidRPr="00D3695D">
        <w:rPr>
          <w:rFonts w:eastAsia="Arial" w:cs="Arial"/>
          <w:color w:val="000000" w:themeColor="text1"/>
          <w:sz w:val="24"/>
          <w:szCs w:val="24"/>
          <w:lang w:val="en-AU"/>
        </w:rPr>
        <w:t>(</w:t>
      </w:r>
      <w:r w:rsidRPr="00D3695D">
        <w:rPr>
          <w:rFonts w:eastAsia="Arial" w:cs="Arial"/>
          <w:color w:val="000000" w:themeColor="text1"/>
          <w:sz w:val="24"/>
          <w:szCs w:val="24"/>
          <w:lang w:val="en-AU"/>
        </w:rPr>
        <w:t>DDA</w:t>
      </w:r>
      <w:r w:rsidR="00D3695D" w:rsidRPr="00D3695D">
        <w:rPr>
          <w:rFonts w:eastAsia="Arial" w:cs="Arial"/>
          <w:color w:val="000000" w:themeColor="text1"/>
          <w:sz w:val="24"/>
          <w:szCs w:val="24"/>
          <w:lang w:val="en-AU"/>
        </w:rPr>
        <w:t>)</w:t>
      </w:r>
      <w:r w:rsidRPr="775B0364">
        <w:rPr>
          <w:rFonts w:eastAsia="Arial" w:cs="Arial"/>
          <w:color w:val="000000" w:themeColor="text1"/>
          <w:sz w:val="24"/>
          <w:szCs w:val="24"/>
          <w:lang w:val="en-AU"/>
        </w:rPr>
        <w:t xml:space="preserve"> which specially states that the requirement for a reasonable adjustment </w:t>
      </w:r>
      <w:r w:rsidR="6789148C" w:rsidRPr="775B0364">
        <w:rPr>
          <w:rFonts w:eastAsia="Arial" w:cs="Arial"/>
          <w:color w:val="000000" w:themeColor="text1"/>
          <w:sz w:val="24"/>
          <w:szCs w:val="24"/>
          <w:lang w:val="en-AU"/>
        </w:rPr>
        <w:t xml:space="preserve">for a person with a disability </w:t>
      </w:r>
      <w:r w:rsidRPr="775B0364">
        <w:rPr>
          <w:rFonts w:eastAsia="Arial" w:cs="Arial"/>
          <w:color w:val="000000" w:themeColor="text1"/>
          <w:sz w:val="24"/>
          <w:szCs w:val="24"/>
          <w:lang w:val="en-AU"/>
        </w:rPr>
        <w:t>does not make circumstances materially different</w:t>
      </w:r>
      <w:r w:rsidRPr="000F51F1">
        <w:rPr>
          <w:rFonts w:eastAsia="Arial" w:cs="Arial"/>
          <w:color w:val="000000" w:themeColor="text1"/>
          <w:sz w:val="24"/>
          <w:szCs w:val="24"/>
          <w:lang w:val="en-AU"/>
        </w:rPr>
        <w:t>.</w:t>
      </w:r>
      <w:r w:rsidR="009905DA">
        <w:rPr>
          <w:rStyle w:val="FootnoteReference"/>
          <w:rFonts w:eastAsia="Arial" w:cs="Arial"/>
          <w:color w:val="000000" w:themeColor="text1"/>
          <w:sz w:val="24"/>
          <w:szCs w:val="24"/>
          <w:lang w:val="en-AU"/>
        </w:rPr>
        <w:footnoteReference w:id="1"/>
      </w:r>
      <w:r w:rsidR="009905DA">
        <w:rPr>
          <w:rFonts w:eastAsia="Arial" w:cs="Arial"/>
          <w:color w:val="000000" w:themeColor="text1"/>
          <w:sz w:val="24"/>
          <w:szCs w:val="24"/>
          <w:vertAlign w:val="superscript"/>
          <w:lang w:val="en-AU"/>
        </w:rPr>
        <w:t xml:space="preserve"> </w:t>
      </w:r>
      <w:r w:rsidR="09E32E90" w:rsidRPr="775B0364">
        <w:rPr>
          <w:rFonts w:eastAsia="Arial" w:cs="Arial"/>
          <w:color w:val="000000" w:themeColor="text1"/>
          <w:sz w:val="24"/>
          <w:szCs w:val="24"/>
          <w:lang w:val="en-AU"/>
        </w:rPr>
        <w:t xml:space="preserve">Additionally to ensure there </w:t>
      </w:r>
      <w:r w:rsidR="2D4E21F2" w:rsidRPr="775B0364">
        <w:rPr>
          <w:rFonts w:eastAsia="Arial" w:cs="Arial"/>
          <w:color w:val="000000" w:themeColor="text1"/>
          <w:sz w:val="24"/>
          <w:szCs w:val="24"/>
          <w:lang w:val="en-AU"/>
        </w:rPr>
        <w:t>is no ambiguity, the Act should clearly s</w:t>
      </w:r>
      <w:r w:rsidR="578E7462" w:rsidRPr="775B0364">
        <w:rPr>
          <w:rFonts w:eastAsia="Arial" w:cs="Arial"/>
          <w:color w:val="000000" w:themeColor="text1"/>
          <w:sz w:val="24"/>
          <w:szCs w:val="24"/>
          <w:lang w:val="en-AU"/>
        </w:rPr>
        <w:t>pecify</w:t>
      </w:r>
      <w:r w:rsidR="2D4E21F2" w:rsidRPr="775B0364">
        <w:rPr>
          <w:rFonts w:eastAsia="Arial" w:cs="Arial"/>
          <w:color w:val="000000" w:themeColor="text1"/>
          <w:sz w:val="24"/>
          <w:szCs w:val="24"/>
          <w:lang w:val="en-AU"/>
        </w:rPr>
        <w:t xml:space="preserve"> that it is not necessa</w:t>
      </w:r>
      <w:r w:rsidR="783C01C9" w:rsidRPr="775B0364">
        <w:rPr>
          <w:rFonts w:eastAsia="Arial" w:cs="Arial"/>
          <w:color w:val="000000" w:themeColor="text1"/>
          <w:sz w:val="24"/>
          <w:szCs w:val="24"/>
          <w:lang w:val="en-AU"/>
        </w:rPr>
        <w:t>ry for the discriminator to be aware of indirect discrimination</w:t>
      </w:r>
      <w:r w:rsidR="4563157A" w:rsidRPr="775B0364">
        <w:rPr>
          <w:rFonts w:eastAsia="Arial" w:cs="Arial"/>
          <w:color w:val="000000" w:themeColor="text1"/>
          <w:sz w:val="24"/>
          <w:szCs w:val="24"/>
          <w:lang w:val="en-AU"/>
        </w:rPr>
        <w:t>.</w:t>
      </w:r>
    </w:p>
    <w:p w14:paraId="51D84E3F" w14:textId="4B1C04B2" w:rsidR="775B0364" w:rsidRDefault="775B0364" w:rsidP="775B0364">
      <w:pPr>
        <w:spacing w:before="0" w:after="0"/>
        <w:rPr>
          <w:color w:val="000000" w:themeColor="text1"/>
          <w:szCs w:val="28"/>
          <w:lang w:val="en-AU"/>
        </w:rPr>
      </w:pPr>
    </w:p>
    <w:p w14:paraId="46D88072" w14:textId="59C25893" w:rsidR="0EFC6183" w:rsidRDefault="0EFC6183" w:rsidP="775B0364">
      <w:pPr>
        <w:spacing w:before="0" w:after="0"/>
        <w:rPr>
          <w:rFonts w:eastAsia="Arial" w:cs="Arial"/>
          <w:color w:val="000000" w:themeColor="text1"/>
          <w:sz w:val="24"/>
          <w:szCs w:val="24"/>
          <w:lang w:val="en-US"/>
        </w:rPr>
      </w:pPr>
      <w:r w:rsidRPr="775B0364">
        <w:rPr>
          <w:rFonts w:eastAsia="Arial" w:cs="Arial"/>
          <w:b/>
          <w:bCs/>
          <w:color w:val="000000" w:themeColor="text1"/>
          <w:sz w:val="24"/>
          <w:szCs w:val="24"/>
          <w:lang w:val="en-AU"/>
        </w:rPr>
        <w:t xml:space="preserve">Definition of Impairment </w:t>
      </w:r>
    </w:p>
    <w:p w14:paraId="5630C6AA" w14:textId="7023F3CC" w:rsidR="0EFC6183" w:rsidRDefault="0EFC6183" w:rsidP="775B0364">
      <w:pPr>
        <w:spacing w:before="0" w:after="0"/>
        <w:rPr>
          <w:rFonts w:eastAsia="Arial" w:cs="Arial"/>
          <w:color w:val="000000" w:themeColor="text1"/>
          <w:sz w:val="24"/>
          <w:szCs w:val="24"/>
          <w:lang w:val="en-AU"/>
        </w:rPr>
      </w:pPr>
      <w:r w:rsidRPr="775B0364">
        <w:rPr>
          <w:rFonts w:eastAsia="Arial" w:cs="Arial"/>
          <w:color w:val="000000" w:themeColor="text1"/>
          <w:sz w:val="24"/>
          <w:szCs w:val="24"/>
          <w:lang w:val="en-AU"/>
        </w:rPr>
        <w:t>PWdWA recommends that the Act be amended to replace the term and definition of “Impairment” with the definition of disability found in the D</w:t>
      </w:r>
      <w:r w:rsidR="00D3695D">
        <w:rPr>
          <w:rFonts w:eastAsia="Arial" w:cs="Arial"/>
          <w:color w:val="000000" w:themeColor="text1"/>
          <w:sz w:val="24"/>
          <w:szCs w:val="24"/>
          <w:lang w:val="en-AU"/>
        </w:rPr>
        <w:t xml:space="preserve">DA </w:t>
      </w:r>
      <w:r w:rsidRPr="775B0364">
        <w:rPr>
          <w:rFonts w:eastAsia="Arial" w:cs="Arial"/>
          <w:color w:val="000000" w:themeColor="text1"/>
          <w:sz w:val="24"/>
          <w:szCs w:val="24"/>
          <w:lang w:val="en-AU"/>
        </w:rPr>
        <w:t xml:space="preserve">1992. The DDA definition is broader, and more in line with community understanding of disability. It </w:t>
      </w:r>
      <w:r w:rsidRPr="775B0364">
        <w:rPr>
          <w:rFonts w:eastAsia="Arial" w:cs="Arial"/>
          <w:color w:val="000000" w:themeColor="text1"/>
          <w:sz w:val="24"/>
          <w:szCs w:val="24"/>
          <w:lang w:val="en-AU"/>
        </w:rPr>
        <w:lastRenderedPageBreak/>
        <w:t xml:space="preserve">also extends to potential future disabilities which is not specifically mentioned in the </w:t>
      </w:r>
      <w:r w:rsidR="6B3BB590" w:rsidRPr="775B0364">
        <w:rPr>
          <w:rFonts w:eastAsia="Arial" w:cs="Arial"/>
          <w:color w:val="000000" w:themeColor="text1"/>
          <w:sz w:val="24"/>
          <w:szCs w:val="24"/>
          <w:lang w:val="en-AU"/>
        </w:rPr>
        <w:t xml:space="preserve">current version of the </w:t>
      </w:r>
      <w:r w:rsidRPr="775B0364">
        <w:rPr>
          <w:rFonts w:eastAsia="Arial" w:cs="Arial"/>
          <w:color w:val="000000" w:themeColor="text1"/>
          <w:sz w:val="24"/>
          <w:szCs w:val="24"/>
          <w:lang w:val="en-AU"/>
        </w:rPr>
        <w:t>Act.</w:t>
      </w:r>
    </w:p>
    <w:p w14:paraId="7C0B49B8" w14:textId="77777777" w:rsidR="009905DA" w:rsidRDefault="009905DA" w:rsidP="775B0364">
      <w:pPr>
        <w:spacing w:before="0" w:after="0"/>
        <w:rPr>
          <w:rFonts w:eastAsia="Arial" w:cs="Arial"/>
          <w:b/>
          <w:bCs/>
          <w:color w:val="000000" w:themeColor="text1"/>
          <w:sz w:val="24"/>
          <w:szCs w:val="24"/>
          <w:lang w:val="en-AU"/>
        </w:rPr>
      </w:pPr>
    </w:p>
    <w:p w14:paraId="61A0EB15" w14:textId="24FF9531" w:rsidR="0EFC6183" w:rsidRDefault="0EFC6183" w:rsidP="775B0364">
      <w:pPr>
        <w:spacing w:before="0" w:after="0"/>
        <w:rPr>
          <w:rFonts w:eastAsia="Arial" w:cs="Arial"/>
          <w:color w:val="000000" w:themeColor="text1"/>
          <w:sz w:val="24"/>
          <w:szCs w:val="24"/>
          <w:lang w:val="en-US"/>
        </w:rPr>
      </w:pPr>
      <w:r w:rsidRPr="775B0364">
        <w:rPr>
          <w:rFonts w:eastAsia="Arial" w:cs="Arial"/>
          <w:b/>
          <w:bCs/>
          <w:color w:val="000000" w:themeColor="text1"/>
          <w:sz w:val="24"/>
          <w:szCs w:val="24"/>
          <w:lang w:val="en-AU"/>
        </w:rPr>
        <w:t>Positive Duty to make Reasonable Adjustments</w:t>
      </w:r>
    </w:p>
    <w:p w14:paraId="2573694E" w14:textId="66D58787" w:rsidR="0EFC6183" w:rsidRDefault="0EFC6183" w:rsidP="775B0364">
      <w:pPr>
        <w:spacing w:before="0" w:after="0"/>
        <w:rPr>
          <w:rFonts w:eastAsia="Arial" w:cs="Arial"/>
          <w:color w:val="000000" w:themeColor="text1"/>
          <w:sz w:val="24"/>
          <w:szCs w:val="24"/>
          <w:lang w:val="en-AU"/>
        </w:rPr>
      </w:pPr>
      <w:r w:rsidRPr="775B0364">
        <w:rPr>
          <w:rFonts w:eastAsia="Arial" w:cs="Arial"/>
          <w:color w:val="000000" w:themeColor="text1"/>
          <w:sz w:val="24"/>
          <w:szCs w:val="24"/>
          <w:lang w:val="en-AU"/>
        </w:rPr>
        <w:t xml:space="preserve">PWdWA </w:t>
      </w:r>
      <w:r w:rsidR="3276F464" w:rsidRPr="775B0364">
        <w:rPr>
          <w:rFonts w:eastAsia="Arial" w:cs="Arial"/>
          <w:color w:val="000000" w:themeColor="text1"/>
          <w:sz w:val="24"/>
          <w:szCs w:val="24"/>
          <w:lang w:val="en-AU"/>
        </w:rPr>
        <w:t>supports the introduction of a positive duty to make a reasonable adjustment</w:t>
      </w:r>
      <w:r w:rsidR="7E0B5788" w:rsidRPr="775B0364">
        <w:rPr>
          <w:rFonts w:eastAsia="Arial" w:cs="Arial"/>
          <w:color w:val="000000" w:themeColor="text1"/>
          <w:sz w:val="24"/>
          <w:szCs w:val="24"/>
          <w:lang w:val="en-AU"/>
        </w:rPr>
        <w:t xml:space="preserve"> as a stand-alone obligation</w:t>
      </w:r>
      <w:r w:rsidR="3276F464" w:rsidRPr="775B0364">
        <w:rPr>
          <w:rFonts w:eastAsia="Arial" w:cs="Arial"/>
          <w:color w:val="000000" w:themeColor="text1"/>
          <w:sz w:val="24"/>
          <w:szCs w:val="24"/>
          <w:lang w:val="en-AU"/>
        </w:rPr>
        <w:t xml:space="preserve">. </w:t>
      </w:r>
      <w:r w:rsidR="0626EFA4" w:rsidRPr="775B0364">
        <w:rPr>
          <w:rFonts w:eastAsia="Arial" w:cs="Arial"/>
          <w:color w:val="000000" w:themeColor="text1"/>
          <w:sz w:val="24"/>
          <w:szCs w:val="24"/>
          <w:lang w:val="en-AU"/>
        </w:rPr>
        <w:t xml:space="preserve">We believe the Act in its current format does not </w:t>
      </w:r>
      <w:r w:rsidR="20AB1C6A" w:rsidRPr="775B0364">
        <w:rPr>
          <w:rFonts w:eastAsia="Arial" w:cs="Arial"/>
          <w:color w:val="000000" w:themeColor="text1"/>
          <w:sz w:val="24"/>
          <w:szCs w:val="24"/>
          <w:lang w:val="en-AU"/>
        </w:rPr>
        <w:t xml:space="preserve">provide </w:t>
      </w:r>
      <w:r w:rsidR="2D2F4328" w:rsidRPr="775B0364">
        <w:rPr>
          <w:rFonts w:eastAsia="Arial" w:cs="Arial"/>
          <w:color w:val="000000" w:themeColor="text1"/>
          <w:sz w:val="24"/>
          <w:szCs w:val="24"/>
          <w:lang w:val="en-AU"/>
        </w:rPr>
        <w:t>sufficient</w:t>
      </w:r>
      <w:r w:rsidR="20AB1C6A" w:rsidRPr="775B0364">
        <w:rPr>
          <w:rFonts w:eastAsia="Arial" w:cs="Arial"/>
          <w:color w:val="000000" w:themeColor="text1"/>
          <w:sz w:val="24"/>
          <w:szCs w:val="24"/>
          <w:lang w:val="en-AU"/>
        </w:rPr>
        <w:t xml:space="preserve"> </w:t>
      </w:r>
      <w:r w:rsidR="0626EFA4" w:rsidRPr="775B0364">
        <w:rPr>
          <w:rFonts w:eastAsia="Arial" w:cs="Arial"/>
          <w:color w:val="000000" w:themeColor="text1"/>
          <w:sz w:val="24"/>
          <w:szCs w:val="24"/>
          <w:lang w:val="en-AU"/>
        </w:rPr>
        <w:t>protect</w:t>
      </w:r>
      <w:r w:rsidR="267CC9B9" w:rsidRPr="775B0364">
        <w:rPr>
          <w:rFonts w:eastAsia="Arial" w:cs="Arial"/>
          <w:color w:val="000000" w:themeColor="text1"/>
          <w:sz w:val="24"/>
          <w:szCs w:val="24"/>
          <w:lang w:val="en-AU"/>
        </w:rPr>
        <w:t>ion to</w:t>
      </w:r>
      <w:r w:rsidR="0626EFA4" w:rsidRPr="775B0364">
        <w:rPr>
          <w:rFonts w:eastAsia="Arial" w:cs="Arial"/>
          <w:color w:val="000000" w:themeColor="text1"/>
          <w:sz w:val="24"/>
          <w:szCs w:val="24"/>
          <w:lang w:val="en-AU"/>
        </w:rPr>
        <w:t xml:space="preserve"> individuals</w:t>
      </w:r>
      <w:r w:rsidR="2A8FBA30" w:rsidRPr="775B0364">
        <w:rPr>
          <w:rFonts w:eastAsia="Arial" w:cs="Arial"/>
          <w:color w:val="000000" w:themeColor="text1"/>
          <w:sz w:val="24"/>
          <w:szCs w:val="24"/>
          <w:lang w:val="en-AU"/>
        </w:rPr>
        <w:t xml:space="preserve"> with a disability</w:t>
      </w:r>
      <w:r w:rsidR="0626EFA4" w:rsidRPr="775B0364">
        <w:rPr>
          <w:rFonts w:eastAsia="Arial" w:cs="Arial"/>
          <w:color w:val="000000" w:themeColor="text1"/>
          <w:sz w:val="24"/>
          <w:szCs w:val="24"/>
          <w:lang w:val="en-AU"/>
        </w:rPr>
        <w:t xml:space="preserve"> requiring a reasonable adjustment. </w:t>
      </w:r>
      <w:r w:rsidR="0967503C" w:rsidRPr="775B0364">
        <w:rPr>
          <w:rFonts w:eastAsia="Arial" w:cs="Arial"/>
          <w:color w:val="000000" w:themeColor="text1"/>
          <w:sz w:val="24"/>
          <w:szCs w:val="24"/>
          <w:lang w:val="en-AU"/>
        </w:rPr>
        <w:t xml:space="preserve">Reasonable adjustments </w:t>
      </w:r>
      <w:r w:rsidR="340486B2" w:rsidRPr="775B0364">
        <w:rPr>
          <w:rFonts w:eastAsia="Arial" w:cs="Arial"/>
          <w:color w:val="000000" w:themeColor="text1"/>
          <w:sz w:val="24"/>
          <w:szCs w:val="24"/>
          <w:lang w:val="en-AU"/>
        </w:rPr>
        <w:t xml:space="preserve">are </w:t>
      </w:r>
      <w:r w:rsidR="0967503C" w:rsidRPr="775B0364">
        <w:rPr>
          <w:rFonts w:eastAsia="Arial" w:cs="Arial"/>
          <w:color w:val="000000" w:themeColor="text1"/>
          <w:sz w:val="24"/>
          <w:szCs w:val="24"/>
          <w:lang w:val="en-AU"/>
        </w:rPr>
        <w:t>an important mechanism for ensuring substantive equality for people with disabilities in WA.</w:t>
      </w:r>
      <w:r w:rsidR="2FF51CAE" w:rsidRPr="775B0364">
        <w:rPr>
          <w:rFonts w:eastAsia="Arial" w:cs="Arial"/>
          <w:color w:val="000000" w:themeColor="text1"/>
          <w:sz w:val="24"/>
          <w:szCs w:val="24"/>
          <w:lang w:val="en-AU"/>
        </w:rPr>
        <w:t xml:space="preserve"> Requiring reasonable adjustments is a proactive measure to eliminating discrimination</w:t>
      </w:r>
      <w:r w:rsidR="120EC316" w:rsidRPr="775B0364">
        <w:rPr>
          <w:rFonts w:eastAsia="Arial" w:cs="Arial"/>
          <w:color w:val="000000" w:themeColor="text1"/>
          <w:sz w:val="24"/>
          <w:szCs w:val="24"/>
          <w:lang w:val="en-AU"/>
        </w:rPr>
        <w:t xml:space="preserve"> and repositions the Act as a positive force for change</w:t>
      </w:r>
      <w:r w:rsidR="2FF51CAE" w:rsidRPr="775B0364">
        <w:rPr>
          <w:rFonts w:eastAsia="Arial" w:cs="Arial"/>
          <w:color w:val="000000" w:themeColor="text1"/>
          <w:sz w:val="24"/>
          <w:szCs w:val="24"/>
          <w:lang w:val="en-AU"/>
        </w:rPr>
        <w:t>.</w:t>
      </w:r>
      <w:r w:rsidR="70CF6216" w:rsidRPr="775B0364">
        <w:rPr>
          <w:rFonts w:eastAsia="Arial" w:cs="Arial"/>
          <w:color w:val="000000" w:themeColor="text1"/>
          <w:sz w:val="24"/>
          <w:szCs w:val="24"/>
          <w:lang w:val="en-AU"/>
        </w:rPr>
        <w:t xml:space="preserve"> </w:t>
      </w:r>
    </w:p>
    <w:p w14:paraId="228FA779" w14:textId="64C3B30D" w:rsidR="0EFC6183" w:rsidRDefault="2693D6E5" w:rsidP="1E096166">
      <w:pPr>
        <w:spacing w:after="160"/>
        <w:rPr>
          <w:rFonts w:eastAsia="Arial" w:cs="Arial"/>
          <w:color w:val="000000" w:themeColor="text1"/>
          <w:sz w:val="24"/>
          <w:szCs w:val="24"/>
          <w:lang w:val="en-AU"/>
        </w:rPr>
      </w:pPr>
      <w:r w:rsidRPr="1E096166">
        <w:rPr>
          <w:rFonts w:eastAsia="Arial" w:cs="Arial"/>
          <w:color w:val="000000" w:themeColor="text1"/>
          <w:sz w:val="24"/>
          <w:szCs w:val="24"/>
          <w:lang w:val="en-AU"/>
        </w:rPr>
        <w:t>We note that t</w:t>
      </w:r>
      <w:r w:rsidR="58FCEB1D" w:rsidRPr="1E096166">
        <w:rPr>
          <w:rFonts w:eastAsia="Arial" w:cs="Arial"/>
          <w:color w:val="000000" w:themeColor="text1"/>
          <w:sz w:val="24"/>
          <w:szCs w:val="24"/>
          <w:lang w:val="en-AU"/>
        </w:rPr>
        <w:t>h</w:t>
      </w:r>
      <w:r w:rsidR="1E792C8A" w:rsidRPr="1E096166">
        <w:rPr>
          <w:rFonts w:eastAsia="Arial" w:cs="Arial"/>
          <w:color w:val="000000" w:themeColor="text1"/>
          <w:sz w:val="24"/>
          <w:szCs w:val="24"/>
          <w:lang w:val="en-AU"/>
        </w:rPr>
        <w:t>e</w:t>
      </w:r>
      <w:r w:rsidR="58FCEB1D" w:rsidRPr="1E096166">
        <w:rPr>
          <w:rFonts w:eastAsia="Arial" w:cs="Arial"/>
          <w:color w:val="000000" w:themeColor="text1"/>
          <w:sz w:val="24"/>
          <w:szCs w:val="24"/>
          <w:lang w:val="en-AU"/>
        </w:rPr>
        <w:t xml:space="preserve"> Australian Human Rights Commission </w:t>
      </w:r>
      <w:r w:rsidR="2D6EC9B5" w:rsidRPr="1E096166">
        <w:rPr>
          <w:rFonts w:eastAsia="Arial" w:cs="Arial"/>
          <w:color w:val="000000" w:themeColor="text1"/>
          <w:sz w:val="24"/>
          <w:szCs w:val="24"/>
          <w:lang w:val="en-AU"/>
        </w:rPr>
        <w:t xml:space="preserve">has </w:t>
      </w:r>
      <w:r w:rsidR="58FCEB1D" w:rsidRPr="1E096166">
        <w:rPr>
          <w:rFonts w:eastAsia="Arial" w:cs="Arial"/>
          <w:color w:val="000000" w:themeColor="text1"/>
          <w:sz w:val="24"/>
          <w:szCs w:val="24"/>
          <w:lang w:val="en-AU"/>
        </w:rPr>
        <w:t>recommended the DDA be amended to include a standalone positive duty to make reasonable adjustments</w:t>
      </w:r>
      <w:r w:rsidR="5ED225B2" w:rsidRPr="1E096166">
        <w:rPr>
          <w:rFonts w:eastAsia="Arial" w:cs="Arial"/>
          <w:color w:val="000000" w:themeColor="text1"/>
          <w:sz w:val="24"/>
          <w:szCs w:val="24"/>
          <w:lang w:val="en-AU"/>
        </w:rPr>
        <w:t>.</w:t>
      </w:r>
      <w:r w:rsidR="0EFC6183" w:rsidRPr="1E096166">
        <w:rPr>
          <w:rStyle w:val="FootnoteReference"/>
          <w:rFonts w:eastAsia="Arial" w:cs="Arial"/>
          <w:color w:val="000000" w:themeColor="text1"/>
          <w:sz w:val="24"/>
          <w:szCs w:val="24"/>
          <w:lang w:val="en-AU"/>
        </w:rPr>
        <w:footnoteReference w:id="2"/>
      </w:r>
      <w:r w:rsidR="516FFE43" w:rsidRPr="1E096166">
        <w:rPr>
          <w:rFonts w:eastAsia="Arial" w:cs="Arial"/>
          <w:color w:val="000000" w:themeColor="text1"/>
          <w:sz w:val="24"/>
          <w:szCs w:val="24"/>
          <w:lang w:val="en-AU"/>
        </w:rPr>
        <w:t xml:space="preserve"> </w:t>
      </w:r>
      <w:r w:rsidR="383D4A27" w:rsidRPr="1E096166">
        <w:rPr>
          <w:rFonts w:eastAsia="Arial" w:cs="Arial"/>
          <w:color w:val="000000" w:themeColor="text1"/>
          <w:sz w:val="24"/>
          <w:szCs w:val="24"/>
          <w:lang w:val="en-AU"/>
        </w:rPr>
        <w:t>We recommend that in including a positive duty to make reasonable adjustment the Commission consider an approach which does not require</w:t>
      </w:r>
      <w:r w:rsidR="414BDD0E" w:rsidRPr="1E096166">
        <w:rPr>
          <w:rFonts w:eastAsia="Arial" w:cs="Arial"/>
          <w:color w:val="000000" w:themeColor="text1"/>
          <w:sz w:val="24"/>
          <w:szCs w:val="24"/>
          <w:lang w:val="en-AU"/>
        </w:rPr>
        <w:t xml:space="preserve"> </w:t>
      </w:r>
      <w:r w:rsidR="383D4A27" w:rsidRPr="1E096166">
        <w:rPr>
          <w:rFonts w:eastAsia="Arial" w:cs="Arial"/>
          <w:color w:val="000000" w:themeColor="text1"/>
          <w:sz w:val="24"/>
          <w:szCs w:val="24"/>
          <w:lang w:val="en-AU"/>
        </w:rPr>
        <w:t xml:space="preserve">a causal link between the failure to make a </w:t>
      </w:r>
      <w:r w:rsidR="6EC04BD4" w:rsidRPr="1E096166">
        <w:rPr>
          <w:rFonts w:eastAsia="Arial" w:cs="Arial"/>
          <w:color w:val="000000" w:themeColor="text1"/>
          <w:sz w:val="24"/>
          <w:szCs w:val="24"/>
          <w:lang w:val="en-AU"/>
        </w:rPr>
        <w:t>reasonable</w:t>
      </w:r>
      <w:r w:rsidR="383D4A27" w:rsidRPr="1E096166">
        <w:rPr>
          <w:rFonts w:eastAsia="Arial" w:cs="Arial"/>
          <w:color w:val="000000" w:themeColor="text1"/>
          <w:sz w:val="24"/>
          <w:szCs w:val="24"/>
          <w:lang w:val="en-AU"/>
        </w:rPr>
        <w:t xml:space="preserve"> adjustment and the </w:t>
      </w:r>
      <w:r w:rsidR="03F2342D" w:rsidRPr="1E096166">
        <w:rPr>
          <w:rFonts w:eastAsia="Arial" w:cs="Arial"/>
          <w:color w:val="000000" w:themeColor="text1"/>
          <w:sz w:val="24"/>
          <w:szCs w:val="24"/>
          <w:lang w:val="en-AU"/>
        </w:rPr>
        <w:t>aggrieved</w:t>
      </w:r>
      <w:r w:rsidR="0ACABCA1" w:rsidRPr="1E096166">
        <w:rPr>
          <w:rFonts w:eastAsia="Arial" w:cs="Arial"/>
          <w:color w:val="000000" w:themeColor="text1"/>
          <w:sz w:val="24"/>
          <w:szCs w:val="24"/>
          <w:lang w:val="en-AU"/>
        </w:rPr>
        <w:t xml:space="preserve"> persons disability. </w:t>
      </w:r>
      <w:r w:rsidR="3A63D25C" w:rsidRPr="1E096166">
        <w:rPr>
          <w:rFonts w:eastAsia="Arial" w:cs="Arial"/>
          <w:color w:val="000000" w:themeColor="text1"/>
          <w:sz w:val="24"/>
          <w:szCs w:val="24"/>
          <w:lang w:val="en-AU"/>
        </w:rPr>
        <w:t xml:space="preserve">This is because requiring a person to prove they are disadvantaged by the lack of </w:t>
      </w:r>
      <w:r w:rsidR="5C9B3855" w:rsidRPr="1E096166">
        <w:rPr>
          <w:rFonts w:eastAsia="Arial" w:cs="Arial"/>
          <w:color w:val="000000" w:themeColor="text1"/>
          <w:sz w:val="24"/>
          <w:szCs w:val="24"/>
          <w:lang w:val="en-AU"/>
        </w:rPr>
        <w:t>reasonable</w:t>
      </w:r>
      <w:r w:rsidR="3A63D25C" w:rsidRPr="1E096166">
        <w:rPr>
          <w:rFonts w:eastAsia="Arial" w:cs="Arial"/>
          <w:color w:val="000000" w:themeColor="text1"/>
          <w:sz w:val="24"/>
          <w:szCs w:val="24"/>
          <w:lang w:val="en-AU"/>
        </w:rPr>
        <w:t xml:space="preserve"> adjustment and that the failure to provide the reasonable adjustment is because of a </w:t>
      </w:r>
      <w:r w:rsidR="52FA3A32" w:rsidRPr="1E096166">
        <w:rPr>
          <w:rFonts w:eastAsia="Arial" w:cs="Arial"/>
          <w:color w:val="000000" w:themeColor="text1"/>
          <w:sz w:val="24"/>
          <w:szCs w:val="24"/>
          <w:lang w:val="en-AU"/>
        </w:rPr>
        <w:t>person's</w:t>
      </w:r>
      <w:r w:rsidR="3A63D25C" w:rsidRPr="1E096166">
        <w:rPr>
          <w:rFonts w:eastAsia="Arial" w:cs="Arial"/>
          <w:color w:val="000000" w:themeColor="text1"/>
          <w:sz w:val="24"/>
          <w:szCs w:val="24"/>
          <w:lang w:val="en-AU"/>
        </w:rPr>
        <w:t xml:space="preserve"> disability would be too onero</w:t>
      </w:r>
      <w:r w:rsidR="7E47621E" w:rsidRPr="1E096166">
        <w:rPr>
          <w:rFonts w:eastAsia="Arial" w:cs="Arial"/>
          <w:color w:val="000000" w:themeColor="text1"/>
          <w:sz w:val="24"/>
          <w:szCs w:val="24"/>
          <w:lang w:val="en-AU"/>
        </w:rPr>
        <w:t xml:space="preserve">us and </w:t>
      </w:r>
      <w:r w:rsidR="60B35704" w:rsidRPr="1E096166">
        <w:rPr>
          <w:rFonts w:eastAsia="Arial" w:cs="Arial"/>
          <w:color w:val="000000" w:themeColor="text1"/>
          <w:sz w:val="24"/>
          <w:szCs w:val="24"/>
          <w:lang w:val="en-AU"/>
        </w:rPr>
        <w:t>contrary to the C</w:t>
      </w:r>
      <w:r w:rsidR="008F2746">
        <w:rPr>
          <w:rFonts w:eastAsia="Arial" w:cs="Arial"/>
          <w:color w:val="000000" w:themeColor="text1"/>
          <w:sz w:val="24"/>
          <w:szCs w:val="24"/>
          <w:lang w:val="en-AU"/>
        </w:rPr>
        <w:t>onvention on the Rights of Pe</w:t>
      </w:r>
      <w:r w:rsidR="004B3C4C">
        <w:rPr>
          <w:rFonts w:eastAsia="Arial" w:cs="Arial"/>
          <w:color w:val="000000" w:themeColor="text1"/>
          <w:sz w:val="24"/>
          <w:szCs w:val="24"/>
          <w:lang w:val="en-AU"/>
        </w:rPr>
        <w:t xml:space="preserve">rsons with Disabilities </w:t>
      </w:r>
      <w:r w:rsidR="008F2746">
        <w:rPr>
          <w:rFonts w:eastAsia="Arial" w:cs="Arial"/>
          <w:color w:val="000000" w:themeColor="text1"/>
          <w:sz w:val="24"/>
          <w:szCs w:val="24"/>
          <w:lang w:val="en-AU"/>
        </w:rPr>
        <w:t>(C</w:t>
      </w:r>
      <w:r w:rsidR="60B35704" w:rsidRPr="1E096166">
        <w:rPr>
          <w:rFonts w:eastAsia="Arial" w:cs="Arial"/>
          <w:color w:val="000000" w:themeColor="text1"/>
          <w:sz w:val="24"/>
          <w:szCs w:val="24"/>
          <w:lang w:val="en-AU"/>
        </w:rPr>
        <w:t>RPD</w:t>
      </w:r>
      <w:r w:rsidR="008F2746">
        <w:rPr>
          <w:rFonts w:eastAsia="Arial" w:cs="Arial"/>
          <w:color w:val="000000" w:themeColor="text1"/>
          <w:sz w:val="24"/>
          <w:szCs w:val="24"/>
          <w:lang w:val="en-AU"/>
        </w:rPr>
        <w:t>)</w:t>
      </w:r>
      <w:r w:rsidR="60B35704" w:rsidRPr="1E096166">
        <w:rPr>
          <w:rFonts w:eastAsia="Arial" w:cs="Arial"/>
          <w:color w:val="000000" w:themeColor="text1"/>
          <w:sz w:val="24"/>
          <w:szCs w:val="24"/>
          <w:lang w:val="en-AU"/>
        </w:rPr>
        <w:t>.</w:t>
      </w:r>
    </w:p>
    <w:p w14:paraId="79BB913D" w14:textId="5B67689C" w:rsidR="0EFC6183" w:rsidRDefault="3276F464" w:rsidP="1E096166">
      <w:pPr>
        <w:spacing w:after="160"/>
        <w:rPr>
          <w:rFonts w:eastAsia="Arial" w:cs="Arial"/>
          <w:color w:val="000000" w:themeColor="text1"/>
          <w:sz w:val="24"/>
          <w:szCs w:val="24"/>
          <w:lang w:val="en-AU"/>
        </w:rPr>
      </w:pPr>
      <w:r w:rsidRPr="1E096166">
        <w:rPr>
          <w:rFonts w:eastAsia="Arial" w:cs="Arial"/>
          <w:color w:val="000000" w:themeColor="text1"/>
          <w:sz w:val="24"/>
          <w:szCs w:val="24"/>
          <w:lang w:val="en-AU"/>
        </w:rPr>
        <w:t>To ensure this provision is easily understood and can be enforced</w:t>
      </w:r>
      <w:r w:rsidR="00CB1150">
        <w:rPr>
          <w:rFonts w:eastAsia="Arial" w:cs="Arial"/>
          <w:color w:val="000000" w:themeColor="text1"/>
          <w:sz w:val="24"/>
          <w:szCs w:val="24"/>
          <w:lang w:val="en-AU"/>
        </w:rPr>
        <w:t>,</w:t>
      </w:r>
      <w:r w:rsidRPr="1E096166">
        <w:rPr>
          <w:rFonts w:eastAsia="Arial" w:cs="Arial"/>
          <w:color w:val="000000" w:themeColor="text1"/>
          <w:sz w:val="24"/>
          <w:szCs w:val="24"/>
          <w:lang w:val="en-AU"/>
        </w:rPr>
        <w:t xml:space="preserve"> we </w:t>
      </w:r>
      <w:r w:rsidR="0EFC6183" w:rsidRPr="1E096166">
        <w:rPr>
          <w:rFonts w:eastAsia="Arial" w:cs="Arial"/>
          <w:color w:val="000000" w:themeColor="text1"/>
          <w:sz w:val="24"/>
          <w:szCs w:val="24"/>
          <w:lang w:val="en-AU"/>
        </w:rPr>
        <w:t>recommend the Act to include a specific definition of the term “reasonable adjustment</w:t>
      </w:r>
      <w:r w:rsidR="0486CC0E" w:rsidRPr="1E096166">
        <w:rPr>
          <w:rFonts w:eastAsia="Arial" w:cs="Arial"/>
          <w:color w:val="000000" w:themeColor="text1"/>
          <w:sz w:val="24"/>
          <w:szCs w:val="24"/>
          <w:lang w:val="en-AU"/>
        </w:rPr>
        <w:t>.”</w:t>
      </w:r>
      <w:r w:rsidR="76F5CF97" w:rsidRPr="1E096166">
        <w:rPr>
          <w:rFonts w:eastAsia="Arial" w:cs="Arial"/>
          <w:color w:val="000000" w:themeColor="text1"/>
          <w:sz w:val="24"/>
          <w:szCs w:val="24"/>
          <w:lang w:val="en-AU"/>
        </w:rPr>
        <w:t xml:space="preserve"> </w:t>
      </w:r>
      <w:r w:rsidR="65C5CC8B" w:rsidRPr="1E096166">
        <w:rPr>
          <w:rFonts w:eastAsia="Arial" w:cs="Arial"/>
          <w:color w:val="000000" w:themeColor="text1"/>
          <w:sz w:val="24"/>
          <w:szCs w:val="24"/>
          <w:lang w:val="en-AU"/>
        </w:rPr>
        <w:t>A</w:t>
      </w:r>
      <w:r w:rsidR="69F32F16" w:rsidRPr="1E096166">
        <w:rPr>
          <w:rFonts w:eastAsia="Arial" w:cs="Arial"/>
          <w:color w:val="000000" w:themeColor="text1"/>
          <w:sz w:val="24"/>
          <w:szCs w:val="24"/>
          <w:lang w:val="en-AU"/>
        </w:rPr>
        <w:t xml:space="preserve"> clear definition is important to guide understanding and implementation of the term, and to ensure </w:t>
      </w:r>
      <w:r w:rsidR="70E3DCF0" w:rsidRPr="1E096166">
        <w:rPr>
          <w:rFonts w:eastAsia="Arial" w:cs="Arial"/>
          <w:color w:val="000000" w:themeColor="text1"/>
          <w:sz w:val="24"/>
          <w:szCs w:val="24"/>
          <w:lang w:val="en-AU"/>
        </w:rPr>
        <w:t>people</w:t>
      </w:r>
      <w:r w:rsidR="69F32F16" w:rsidRPr="1E096166">
        <w:rPr>
          <w:rFonts w:eastAsia="Arial" w:cs="Arial"/>
          <w:color w:val="000000" w:themeColor="text1"/>
          <w:sz w:val="24"/>
          <w:szCs w:val="24"/>
          <w:lang w:val="en-AU"/>
        </w:rPr>
        <w:t xml:space="preserve"> with disabi</w:t>
      </w:r>
      <w:r w:rsidR="602B736F" w:rsidRPr="1E096166">
        <w:rPr>
          <w:rFonts w:eastAsia="Arial" w:cs="Arial"/>
          <w:color w:val="000000" w:themeColor="text1"/>
          <w:sz w:val="24"/>
          <w:szCs w:val="24"/>
          <w:lang w:val="en-AU"/>
        </w:rPr>
        <w:t>li</w:t>
      </w:r>
      <w:r w:rsidR="69F32F16" w:rsidRPr="1E096166">
        <w:rPr>
          <w:rFonts w:eastAsia="Arial" w:cs="Arial"/>
          <w:color w:val="000000" w:themeColor="text1"/>
          <w:sz w:val="24"/>
          <w:szCs w:val="24"/>
          <w:lang w:val="en-AU"/>
        </w:rPr>
        <w:t xml:space="preserve">ties </w:t>
      </w:r>
      <w:r w:rsidR="66B8C757" w:rsidRPr="1E096166">
        <w:rPr>
          <w:rFonts w:eastAsia="Arial" w:cs="Arial"/>
          <w:color w:val="000000" w:themeColor="text1"/>
          <w:sz w:val="24"/>
          <w:szCs w:val="24"/>
          <w:lang w:val="en-AU"/>
        </w:rPr>
        <w:t>understand their rights.</w:t>
      </w:r>
      <w:r w:rsidR="65C5CC8B" w:rsidRPr="1E096166">
        <w:rPr>
          <w:rFonts w:eastAsia="Arial" w:cs="Arial"/>
          <w:color w:val="000000" w:themeColor="text1"/>
          <w:sz w:val="24"/>
          <w:szCs w:val="24"/>
          <w:lang w:val="en-AU"/>
        </w:rPr>
        <w:t xml:space="preserve"> </w:t>
      </w:r>
      <w:r w:rsidR="3E95A771" w:rsidRPr="1E096166">
        <w:rPr>
          <w:rFonts w:eastAsia="Arial" w:cs="Arial"/>
          <w:color w:val="000000" w:themeColor="text1"/>
          <w:sz w:val="24"/>
          <w:szCs w:val="24"/>
          <w:lang w:val="en-AU"/>
        </w:rPr>
        <w:t xml:space="preserve">In defining </w:t>
      </w:r>
      <w:r w:rsidR="35B14EF3" w:rsidRPr="1E096166">
        <w:rPr>
          <w:rFonts w:eastAsia="Arial" w:cs="Arial"/>
          <w:color w:val="000000" w:themeColor="text1"/>
          <w:sz w:val="24"/>
          <w:szCs w:val="24"/>
          <w:lang w:val="en-AU"/>
        </w:rPr>
        <w:t>“</w:t>
      </w:r>
      <w:r w:rsidR="3E95A771" w:rsidRPr="1E096166">
        <w:rPr>
          <w:rFonts w:eastAsia="Arial" w:cs="Arial"/>
          <w:color w:val="000000" w:themeColor="text1"/>
          <w:sz w:val="24"/>
          <w:szCs w:val="24"/>
          <w:lang w:val="en-AU"/>
        </w:rPr>
        <w:t>reasonable</w:t>
      </w:r>
      <w:r w:rsidR="41B9FED8" w:rsidRPr="1E096166">
        <w:rPr>
          <w:rFonts w:eastAsia="Arial" w:cs="Arial"/>
          <w:color w:val="000000" w:themeColor="text1"/>
          <w:sz w:val="24"/>
          <w:szCs w:val="24"/>
          <w:lang w:val="en-AU"/>
        </w:rPr>
        <w:t>,”</w:t>
      </w:r>
      <w:r w:rsidR="3E95A771" w:rsidRPr="1E096166">
        <w:rPr>
          <w:rFonts w:eastAsia="Arial" w:cs="Arial"/>
          <w:color w:val="000000" w:themeColor="text1"/>
          <w:sz w:val="24"/>
          <w:szCs w:val="24"/>
          <w:lang w:val="en-AU"/>
        </w:rPr>
        <w:t xml:space="preserve"> we propose that an adjustment should be considered reasonable unless it would impose an unjustifiable hardship.</w:t>
      </w:r>
      <w:r w:rsidR="7FC1B772" w:rsidRPr="1E096166">
        <w:rPr>
          <w:rFonts w:eastAsia="Arial" w:cs="Arial"/>
          <w:color w:val="000000" w:themeColor="text1"/>
          <w:sz w:val="24"/>
          <w:szCs w:val="24"/>
          <w:lang w:val="en-AU"/>
        </w:rPr>
        <w:t xml:space="preserve"> </w:t>
      </w:r>
      <w:r w:rsidR="31AB5657" w:rsidRPr="1E096166">
        <w:rPr>
          <w:rFonts w:eastAsia="Arial" w:cs="Arial"/>
          <w:color w:val="000000" w:themeColor="text1"/>
          <w:sz w:val="24"/>
          <w:szCs w:val="24"/>
          <w:lang w:val="en-AU"/>
        </w:rPr>
        <w:t>This</w:t>
      </w:r>
      <w:r w:rsidR="7FC1B772" w:rsidRPr="1E096166">
        <w:rPr>
          <w:rFonts w:eastAsia="Arial" w:cs="Arial"/>
          <w:color w:val="000000" w:themeColor="text1"/>
          <w:sz w:val="24"/>
          <w:szCs w:val="24"/>
          <w:lang w:val="en-AU"/>
        </w:rPr>
        <w:t xml:space="preserve"> </w:t>
      </w:r>
      <w:r w:rsidR="1AFBA942" w:rsidRPr="1E096166">
        <w:rPr>
          <w:rFonts w:eastAsia="Arial" w:cs="Arial"/>
          <w:color w:val="000000" w:themeColor="text1"/>
          <w:sz w:val="24"/>
          <w:szCs w:val="24"/>
          <w:lang w:val="en-AU"/>
        </w:rPr>
        <w:t>recognises</w:t>
      </w:r>
      <w:r w:rsidR="7FC1B772" w:rsidRPr="1E096166">
        <w:rPr>
          <w:rFonts w:eastAsia="Arial" w:cs="Arial"/>
          <w:color w:val="000000" w:themeColor="text1"/>
          <w:sz w:val="24"/>
          <w:szCs w:val="24"/>
          <w:lang w:val="en-AU"/>
        </w:rPr>
        <w:t xml:space="preserve"> that some level of hardship to make an adjustment is </w:t>
      </w:r>
      <w:r w:rsidR="2C07DE53" w:rsidRPr="1E096166">
        <w:rPr>
          <w:rFonts w:eastAsia="Arial" w:cs="Arial"/>
          <w:color w:val="000000" w:themeColor="text1"/>
          <w:sz w:val="24"/>
          <w:szCs w:val="24"/>
          <w:lang w:val="en-AU"/>
        </w:rPr>
        <w:t>acceptable</w:t>
      </w:r>
      <w:r w:rsidR="0E7003BC" w:rsidRPr="1E096166">
        <w:rPr>
          <w:rFonts w:eastAsia="Arial" w:cs="Arial"/>
          <w:color w:val="000000" w:themeColor="text1"/>
          <w:sz w:val="24"/>
          <w:szCs w:val="24"/>
          <w:lang w:val="en-AU"/>
        </w:rPr>
        <w:t>.</w:t>
      </w:r>
      <w:r w:rsidR="657AC06F" w:rsidRPr="1E096166">
        <w:rPr>
          <w:rFonts w:eastAsia="Arial" w:cs="Arial"/>
          <w:color w:val="000000" w:themeColor="text1"/>
          <w:sz w:val="24"/>
          <w:szCs w:val="24"/>
          <w:lang w:val="en-AU"/>
        </w:rPr>
        <w:t xml:space="preserve"> </w:t>
      </w:r>
      <w:r w:rsidR="16335994" w:rsidRPr="1E096166">
        <w:rPr>
          <w:rFonts w:eastAsia="Arial" w:cs="Arial"/>
          <w:color w:val="000000" w:themeColor="text1"/>
          <w:sz w:val="24"/>
          <w:szCs w:val="24"/>
          <w:lang w:val="en-AU"/>
        </w:rPr>
        <w:t>In addition to the</w:t>
      </w:r>
      <w:r w:rsidR="4716057F" w:rsidRPr="1E096166">
        <w:rPr>
          <w:rFonts w:eastAsia="Arial" w:cs="Arial"/>
          <w:color w:val="000000" w:themeColor="text1"/>
          <w:sz w:val="24"/>
          <w:szCs w:val="24"/>
          <w:lang w:val="en-AU"/>
        </w:rPr>
        <w:t xml:space="preserve"> circumstances outline in the Act currently</w:t>
      </w:r>
      <w:r w:rsidR="4A423424" w:rsidRPr="1E096166">
        <w:rPr>
          <w:rFonts w:eastAsia="Arial" w:cs="Arial"/>
          <w:color w:val="000000" w:themeColor="text1"/>
          <w:sz w:val="24"/>
          <w:szCs w:val="24"/>
          <w:lang w:val="en-AU"/>
        </w:rPr>
        <w:t>,</w:t>
      </w:r>
      <w:r w:rsidR="4716057F" w:rsidRPr="1E096166">
        <w:rPr>
          <w:rFonts w:eastAsia="Arial" w:cs="Arial"/>
          <w:color w:val="000000" w:themeColor="text1"/>
          <w:sz w:val="24"/>
          <w:szCs w:val="24"/>
          <w:lang w:val="en-AU"/>
        </w:rPr>
        <w:t xml:space="preserve"> we believe</w:t>
      </w:r>
      <w:r w:rsidR="321F0782" w:rsidRPr="1E096166">
        <w:rPr>
          <w:rFonts w:eastAsia="Arial" w:cs="Arial"/>
          <w:color w:val="000000" w:themeColor="text1"/>
          <w:sz w:val="24"/>
          <w:szCs w:val="24"/>
          <w:lang w:val="en-AU"/>
        </w:rPr>
        <w:t xml:space="preserve"> </w:t>
      </w:r>
      <w:r w:rsidR="3927BC4A" w:rsidRPr="1E096166">
        <w:rPr>
          <w:rFonts w:eastAsia="Arial" w:cs="Arial"/>
          <w:color w:val="000000" w:themeColor="text1"/>
          <w:sz w:val="24"/>
          <w:szCs w:val="24"/>
          <w:lang w:val="en-AU"/>
        </w:rPr>
        <w:t>there must also be</w:t>
      </w:r>
      <w:r w:rsidR="2070AA5E" w:rsidRPr="1E096166">
        <w:rPr>
          <w:rFonts w:eastAsia="Arial" w:cs="Arial"/>
          <w:color w:val="000000" w:themeColor="text1"/>
          <w:sz w:val="24"/>
          <w:szCs w:val="24"/>
          <w:lang w:val="en-AU"/>
        </w:rPr>
        <w:t xml:space="preserve"> regard to the proposed amended object of the </w:t>
      </w:r>
      <w:r w:rsidR="00556944">
        <w:rPr>
          <w:rFonts w:eastAsia="Arial" w:cs="Arial"/>
          <w:color w:val="000000" w:themeColor="text1"/>
          <w:sz w:val="24"/>
          <w:szCs w:val="24"/>
          <w:lang w:val="en-AU"/>
        </w:rPr>
        <w:t>A</w:t>
      </w:r>
      <w:r w:rsidR="2070AA5E" w:rsidRPr="1E096166">
        <w:rPr>
          <w:rFonts w:eastAsia="Arial" w:cs="Arial"/>
          <w:color w:val="000000" w:themeColor="text1"/>
          <w:sz w:val="24"/>
          <w:szCs w:val="24"/>
          <w:lang w:val="en-AU"/>
        </w:rPr>
        <w:t>ct</w:t>
      </w:r>
      <w:r w:rsidR="33CF278C" w:rsidRPr="1E096166">
        <w:rPr>
          <w:rFonts w:eastAsia="Arial" w:cs="Arial"/>
          <w:color w:val="000000" w:themeColor="text1"/>
          <w:sz w:val="24"/>
          <w:szCs w:val="24"/>
          <w:lang w:val="en-AU"/>
        </w:rPr>
        <w:t xml:space="preserve"> </w:t>
      </w:r>
      <w:r w:rsidR="1E8EDC97" w:rsidRPr="1E096166">
        <w:rPr>
          <w:rFonts w:eastAsia="Arial" w:cs="Arial"/>
          <w:color w:val="000000" w:themeColor="text1"/>
          <w:sz w:val="24"/>
          <w:szCs w:val="24"/>
          <w:lang w:val="en-AU"/>
        </w:rPr>
        <w:t>and interpretive provisions</w:t>
      </w:r>
      <w:r w:rsidR="33CF278C" w:rsidRPr="1E096166">
        <w:rPr>
          <w:rFonts w:eastAsia="Arial" w:cs="Arial"/>
          <w:color w:val="000000" w:themeColor="text1"/>
          <w:sz w:val="24"/>
          <w:szCs w:val="24"/>
          <w:lang w:val="en-AU"/>
        </w:rPr>
        <w:t>.</w:t>
      </w:r>
      <w:r w:rsidR="497E3762" w:rsidRPr="1E096166">
        <w:rPr>
          <w:rFonts w:eastAsia="Arial" w:cs="Arial"/>
          <w:color w:val="000000" w:themeColor="text1"/>
          <w:sz w:val="24"/>
          <w:szCs w:val="24"/>
          <w:lang w:val="en-AU"/>
        </w:rPr>
        <w:t xml:space="preserve"> </w:t>
      </w:r>
      <w:r w:rsidR="617DC172" w:rsidRPr="1E096166">
        <w:rPr>
          <w:rFonts w:eastAsia="Arial" w:cs="Arial"/>
          <w:color w:val="000000" w:themeColor="text1"/>
          <w:sz w:val="24"/>
          <w:szCs w:val="24"/>
          <w:lang w:val="en-AU"/>
        </w:rPr>
        <w:t xml:space="preserve">Where an adjustment is found to cause an unreasonable hardship there must </w:t>
      </w:r>
      <w:r w:rsidR="2022A6A4" w:rsidRPr="1E096166">
        <w:rPr>
          <w:rFonts w:eastAsia="Arial" w:cs="Arial"/>
          <w:color w:val="000000" w:themeColor="text1"/>
          <w:sz w:val="24"/>
          <w:szCs w:val="24"/>
          <w:lang w:val="en-AU"/>
        </w:rPr>
        <w:t xml:space="preserve">also </w:t>
      </w:r>
      <w:r w:rsidR="617DC172" w:rsidRPr="1E096166">
        <w:rPr>
          <w:rFonts w:eastAsia="Arial" w:cs="Arial"/>
          <w:color w:val="000000" w:themeColor="text1"/>
          <w:sz w:val="24"/>
          <w:szCs w:val="24"/>
          <w:lang w:val="en-AU"/>
        </w:rPr>
        <w:t>be an onus placed on the respondent to</w:t>
      </w:r>
      <w:r w:rsidR="400E2B21" w:rsidRPr="1E096166">
        <w:rPr>
          <w:rFonts w:eastAsia="Arial" w:cs="Arial"/>
          <w:color w:val="000000" w:themeColor="text1"/>
          <w:sz w:val="24"/>
          <w:szCs w:val="24"/>
          <w:lang w:val="en-AU"/>
        </w:rPr>
        <w:t xml:space="preserve"> </w:t>
      </w:r>
      <w:r w:rsidR="400E2B21" w:rsidRPr="1E096166">
        <w:rPr>
          <w:rFonts w:eastAsia="Arial" w:cs="Arial"/>
          <w:color w:val="000000" w:themeColor="text1"/>
          <w:sz w:val="24"/>
          <w:szCs w:val="24"/>
          <w:lang w:val="en-AU"/>
        </w:rPr>
        <w:lastRenderedPageBreak/>
        <w:t>consider alternative options to achieve an adjustment.</w:t>
      </w:r>
      <w:r w:rsidR="1E4C50D7" w:rsidRPr="1E096166">
        <w:rPr>
          <w:rFonts w:eastAsia="Arial" w:cs="Arial"/>
          <w:color w:val="000000" w:themeColor="text1"/>
          <w:sz w:val="24"/>
          <w:szCs w:val="24"/>
          <w:lang w:val="en-AU"/>
        </w:rPr>
        <w:t xml:space="preserve"> </w:t>
      </w:r>
      <w:r w:rsidR="597FF959" w:rsidRPr="1E096166">
        <w:rPr>
          <w:rFonts w:eastAsia="Arial" w:cs="Arial"/>
          <w:color w:val="000000" w:themeColor="text1"/>
          <w:sz w:val="24"/>
          <w:szCs w:val="24"/>
          <w:lang w:val="en-AU"/>
        </w:rPr>
        <w:t>As outlined below the onus of proof must be on the respondent to prove that an adjustment amounts to an unjustifiable hardship.</w:t>
      </w:r>
    </w:p>
    <w:p w14:paraId="2BF36030" w14:textId="3D08CF06" w:rsidR="7F6565A7" w:rsidRDefault="7F6565A7" w:rsidP="1E096166">
      <w:pPr>
        <w:spacing w:after="160"/>
        <w:rPr>
          <w:rFonts w:eastAsia="Arial" w:cs="Arial"/>
          <w:color w:val="000000" w:themeColor="text1"/>
          <w:sz w:val="24"/>
          <w:szCs w:val="24"/>
          <w:lang w:val="en-AU"/>
        </w:rPr>
      </w:pPr>
      <w:r w:rsidRPr="1E096166">
        <w:rPr>
          <w:rFonts w:eastAsia="Arial" w:cs="Arial"/>
          <w:color w:val="000000" w:themeColor="text1"/>
          <w:sz w:val="24"/>
          <w:szCs w:val="24"/>
          <w:lang w:val="en-AU"/>
        </w:rPr>
        <w:t>In addition to defining these terms in the Act</w:t>
      </w:r>
      <w:r w:rsidR="4C8C7958" w:rsidRPr="1E096166">
        <w:rPr>
          <w:rFonts w:eastAsia="Arial" w:cs="Arial"/>
          <w:color w:val="000000" w:themeColor="text1"/>
          <w:sz w:val="24"/>
          <w:szCs w:val="24"/>
          <w:lang w:val="en-AU"/>
        </w:rPr>
        <w:t>,</w:t>
      </w:r>
      <w:r w:rsidRPr="1E096166">
        <w:rPr>
          <w:rFonts w:eastAsia="Arial" w:cs="Arial"/>
          <w:color w:val="000000" w:themeColor="text1"/>
          <w:sz w:val="24"/>
          <w:szCs w:val="24"/>
          <w:lang w:val="en-AU"/>
        </w:rPr>
        <w:t xml:space="preserve"> PWdWA recommends the development of in-practice guidance on how the te</w:t>
      </w:r>
      <w:r w:rsidR="3B624E56" w:rsidRPr="1E096166">
        <w:rPr>
          <w:rFonts w:eastAsia="Arial" w:cs="Arial"/>
          <w:color w:val="000000" w:themeColor="text1"/>
          <w:sz w:val="24"/>
          <w:szCs w:val="24"/>
          <w:lang w:val="en-AU"/>
        </w:rPr>
        <w:t>rms reasonable adjustment and unjustifiable hardship should be interpreted.</w:t>
      </w:r>
      <w:r w:rsidR="0EDA8EF3" w:rsidRPr="1E096166">
        <w:rPr>
          <w:rFonts w:eastAsia="Arial" w:cs="Arial"/>
          <w:color w:val="000000" w:themeColor="text1"/>
          <w:sz w:val="24"/>
          <w:szCs w:val="24"/>
          <w:lang w:val="en-AU"/>
        </w:rPr>
        <w:t xml:space="preserve"> This should form part of a suit of community education tools to increase awareness of and compliance to the Act.</w:t>
      </w:r>
    </w:p>
    <w:p w14:paraId="2ADA42C7" w14:textId="4EEF7E20" w:rsidR="0EFC6183" w:rsidRDefault="0EFC6183" w:rsidP="775B0364">
      <w:pPr>
        <w:spacing w:before="0" w:after="0"/>
        <w:rPr>
          <w:rFonts w:eastAsia="Arial" w:cs="Arial"/>
          <w:color w:val="000000" w:themeColor="text1"/>
          <w:sz w:val="24"/>
          <w:szCs w:val="24"/>
          <w:lang w:val="en-US"/>
        </w:rPr>
      </w:pPr>
      <w:r w:rsidRPr="775B0364">
        <w:rPr>
          <w:rFonts w:eastAsia="Arial" w:cs="Arial"/>
          <w:b/>
          <w:bCs/>
          <w:color w:val="000000" w:themeColor="text1"/>
          <w:sz w:val="24"/>
          <w:szCs w:val="24"/>
          <w:lang w:val="en-AU"/>
        </w:rPr>
        <w:t>Onus of Proof</w:t>
      </w:r>
    </w:p>
    <w:p w14:paraId="4F709716" w14:textId="341962EE" w:rsidR="28044FD7" w:rsidRDefault="28044FD7" w:rsidP="775B0364">
      <w:pPr>
        <w:spacing w:before="0" w:after="0"/>
        <w:rPr>
          <w:rFonts w:eastAsia="Arial" w:cs="Arial"/>
          <w:color w:val="000000" w:themeColor="text1"/>
          <w:sz w:val="24"/>
          <w:szCs w:val="24"/>
          <w:lang w:val="en-US"/>
        </w:rPr>
      </w:pPr>
      <w:r w:rsidRPr="775B0364">
        <w:rPr>
          <w:rFonts w:eastAsia="Arial" w:cs="Arial"/>
          <w:color w:val="000000" w:themeColor="text1"/>
          <w:sz w:val="24"/>
          <w:szCs w:val="24"/>
          <w:lang w:val="en-US"/>
        </w:rPr>
        <w:t>PWdWA recommend that the Onus of Proof be shifted from the complainant/aggrieved person to the respondent</w:t>
      </w:r>
      <w:r w:rsidR="119D6272" w:rsidRPr="775B0364">
        <w:rPr>
          <w:rFonts w:eastAsia="Arial" w:cs="Arial"/>
          <w:color w:val="000000" w:themeColor="text1"/>
          <w:sz w:val="24"/>
          <w:szCs w:val="24"/>
          <w:lang w:val="en-US"/>
        </w:rPr>
        <w:t>/alleged discriminator</w:t>
      </w:r>
      <w:r w:rsidRPr="775B0364">
        <w:rPr>
          <w:rFonts w:eastAsia="Arial" w:cs="Arial"/>
          <w:color w:val="000000" w:themeColor="text1"/>
          <w:sz w:val="24"/>
          <w:szCs w:val="24"/>
          <w:lang w:val="en-US"/>
        </w:rPr>
        <w:t xml:space="preserve">. </w:t>
      </w:r>
      <w:r w:rsidR="53F1C772" w:rsidRPr="775B0364">
        <w:rPr>
          <w:rFonts w:eastAsia="Arial" w:cs="Arial"/>
          <w:color w:val="000000" w:themeColor="text1"/>
          <w:sz w:val="24"/>
          <w:szCs w:val="24"/>
          <w:lang w:val="en-US"/>
        </w:rPr>
        <w:t>We note that the Fair Work Act has</w:t>
      </w:r>
      <w:r w:rsidR="09CA53DC" w:rsidRPr="775B0364">
        <w:rPr>
          <w:rFonts w:eastAsia="Arial" w:cs="Arial"/>
          <w:color w:val="000000" w:themeColor="text1"/>
          <w:sz w:val="24"/>
          <w:szCs w:val="24"/>
          <w:lang w:val="en-US"/>
        </w:rPr>
        <w:t xml:space="preserve"> </w:t>
      </w:r>
      <w:r w:rsidR="53F1C772" w:rsidRPr="775B0364">
        <w:rPr>
          <w:rFonts w:eastAsia="Arial" w:cs="Arial"/>
          <w:color w:val="000000" w:themeColor="text1"/>
          <w:sz w:val="24"/>
          <w:szCs w:val="24"/>
          <w:lang w:val="en-US"/>
        </w:rPr>
        <w:t>provisions under which employers bear the burden of proof, not employees</w:t>
      </w:r>
      <w:r w:rsidR="67DA3967" w:rsidRPr="775B0364">
        <w:rPr>
          <w:rFonts w:eastAsia="Arial" w:cs="Arial"/>
          <w:color w:val="000000" w:themeColor="text1"/>
          <w:sz w:val="24"/>
          <w:szCs w:val="24"/>
          <w:lang w:val="en-US"/>
        </w:rPr>
        <w:t>.</w:t>
      </w:r>
      <w:r w:rsidR="15A485D8" w:rsidRPr="775B0364">
        <w:rPr>
          <w:rFonts w:eastAsia="Arial" w:cs="Arial"/>
          <w:color w:val="000000" w:themeColor="text1"/>
          <w:sz w:val="24"/>
          <w:szCs w:val="24"/>
          <w:lang w:val="en-US"/>
        </w:rPr>
        <w:t xml:space="preserve"> </w:t>
      </w:r>
      <w:r w:rsidR="72A4D6C1" w:rsidRPr="775B0364">
        <w:rPr>
          <w:rFonts w:eastAsia="Arial" w:cs="Arial"/>
          <w:color w:val="000000" w:themeColor="text1"/>
          <w:sz w:val="24"/>
          <w:szCs w:val="24"/>
          <w:lang w:val="en-US"/>
        </w:rPr>
        <w:t>We believe that a reverse burden of proof onto the respondent/alleged discriminator is justifiable given:</w:t>
      </w:r>
    </w:p>
    <w:p w14:paraId="32023CDD" w14:textId="44A39A42" w:rsidR="6E399F6D" w:rsidRDefault="6E399F6D" w:rsidP="1E096166">
      <w:pPr>
        <w:pStyle w:val="ListParagraph"/>
        <w:numPr>
          <w:ilvl w:val="0"/>
          <w:numId w:val="1"/>
        </w:numPr>
        <w:spacing w:after="160"/>
        <w:rPr>
          <w:rFonts w:eastAsia="Arial" w:cs="Arial"/>
          <w:color w:val="000000" w:themeColor="text1"/>
          <w:sz w:val="24"/>
          <w:szCs w:val="24"/>
          <w:lang w:val="en-US"/>
        </w:rPr>
      </w:pPr>
      <w:r w:rsidRPr="1E096166">
        <w:rPr>
          <w:rFonts w:eastAsia="Arial" w:cs="Arial"/>
          <w:color w:val="000000" w:themeColor="text1"/>
          <w:sz w:val="24"/>
          <w:szCs w:val="24"/>
          <w:lang w:val="en-US"/>
        </w:rPr>
        <w:t>Power imbalances between complainants and respondents</w:t>
      </w:r>
    </w:p>
    <w:p w14:paraId="7EAD1F16" w14:textId="083AEA25" w:rsidR="0A126E99" w:rsidRDefault="0A126E99" w:rsidP="1E096166">
      <w:pPr>
        <w:pStyle w:val="ListParagraph"/>
        <w:numPr>
          <w:ilvl w:val="0"/>
          <w:numId w:val="1"/>
        </w:numPr>
        <w:spacing w:after="160"/>
        <w:rPr>
          <w:rFonts w:eastAsia="Arial" w:cs="Arial"/>
          <w:color w:val="000000" w:themeColor="text1"/>
          <w:sz w:val="24"/>
          <w:szCs w:val="24"/>
          <w:lang w:val="en-US"/>
        </w:rPr>
      </w:pPr>
      <w:r w:rsidRPr="1E096166">
        <w:rPr>
          <w:rFonts w:eastAsia="Arial" w:cs="Arial"/>
          <w:color w:val="000000" w:themeColor="text1"/>
          <w:sz w:val="24"/>
          <w:szCs w:val="24"/>
          <w:lang w:val="en-US"/>
        </w:rPr>
        <w:t>The</w:t>
      </w:r>
      <w:r w:rsidR="52F17484" w:rsidRPr="1E096166">
        <w:rPr>
          <w:rFonts w:eastAsia="Arial" w:cs="Arial"/>
          <w:color w:val="000000" w:themeColor="text1"/>
          <w:sz w:val="24"/>
          <w:szCs w:val="24"/>
          <w:lang w:val="en-US"/>
        </w:rPr>
        <w:t xml:space="preserve"> difficulty in accessing</w:t>
      </w:r>
      <w:r w:rsidRPr="1E096166">
        <w:rPr>
          <w:rFonts w:eastAsia="Arial" w:cs="Arial"/>
          <w:color w:val="000000" w:themeColor="text1"/>
          <w:sz w:val="24"/>
          <w:szCs w:val="24"/>
          <w:lang w:val="en-US"/>
        </w:rPr>
        <w:t xml:space="preserve"> evidence to prove a </w:t>
      </w:r>
      <w:r w:rsidR="41431760" w:rsidRPr="1E096166">
        <w:rPr>
          <w:rFonts w:eastAsia="Arial" w:cs="Arial"/>
          <w:color w:val="000000" w:themeColor="text1"/>
          <w:sz w:val="24"/>
          <w:szCs w:val="24"/>
          <w:lang w:val="en-US"/>
        </w:rPr>
        <w:t xml:space="preserve">claim, </w:t>
      </w:r>
      <w:r w:rsidR="358127DF" w:rsidRPr="1E096166">
        <w:rPr>
          <w:rFonts w:eastAsia="Arial" w:cs="Arial"/>
          <w:color w:val="000000" w:themeColor="text1"/>
          <w:sz w:val="24"/>
          <w:szCs w:val="24"/>
          <w:lang w:val="en-US"/>
        </w:rPr>
        <w:t>whereas</w:t>
      </w:r>
      <w:r w:rsidR="41431760" w:rsidRPr="1E096166">
        <w:rPr>
          <w:rFonts w:eastAsia="Arial" w:cs="Arial"/>
          <w:color w:val="000000" w:themeColor="text1"/>
          <w:sz w:val="24"/>
          <w:szCs w:val="24"/>
          <w:lang w:val="en-US"/>
        </w:rPr>
        <w:t xml:space="preserve"> respondents will have access to relevant information and evidence</w:t>
      </w:r>
    </w:p>
    <w:p w14:paraId="1D9C2858" w14:textId="02BA6870" w:rsidR="41431760" w:rsidRDefault="41431760" w:rsidP="1E096166">
      <w:pPr>
        <w:pStyle w:val="ListParagraph"/>
        <w:numPr>
          <w:ilvl w:val="0"/>
          <w:numId w:val="1"/>
        </w:numPr>
        <w:spacing w:after="160"/>
        <w:rPr>
          <w:rFonts w:eastAsia="Arial" w:cs="Arial"/>
          <w:color w:val="000000" w:themeColor="text1"/>
          <w:sz w:val="24"/>
          <w:szCs w:val="24"/>
          <w:lang w:val="en-US"/>
        </w:rPr>
      </w:pPr>
      <w:r w:rsidRPr="1E096166">
        <w:rPr>
          <w:rFonts w:eastAsia="Arial" w:cs="Arial"/>
          <w:color w:val="000000" w:themeColor="text1"/>
          <w:sz w:val="24"/>
          <w:szCs w:val="24"/>
          <w:lang w:val="en-US"/>
        </w:rPr>
        <w:t xml:space="preserve">The respondent is in the best position to explain the reason for their decision/action/requirement </w:t>
      </w:r>
      <w:r w:rsidR="00807847" w:rsidRPr="1E096166">
        <w:rPr>
          <w:rFonts w:eastAsia="Arial" w:cs="Arial"/>
          <w:color w:val="000000" w:themeColor="text1"/>
          <w:sz w:val="24"/>
          <w:szCs w:val="24"/>
          <w:lang w:val="en-US"/>
        </w:rPr>
        <w:t>etc.</w:t>
      </w:r>
    </w:p>
    <w:p w14:paraId="0EAA4BED" w14:textId="01DB0A80" w:rsidR="0A126E99" w:rsidRDefault="0A126E99" w:rsidP="1E096166">
      <w:pPr>
        <w:pStyle w:val="ListParagraph"/>
        <w:numPr>
          <w:ilvl w:val="0"/>
          <w:numId w:val="1"/>
        </w:numPr>
        <w:spacing w:after="160"/>
        <w:rPr>
          <w:rFonts w:eastAsia="Arial" w:cs="Arial"/>
          <w:color w:val="000000" w:themeColor="text1"/>
          <w:sz w:val="24"/>
          <w:szCs w:val="24"/>
          <w:lang w:val="en-US"/>
        </w:rPr>
      </w:pPr>
      <w:r w:rsidRPr="1E096166">
        <w:rPr>
          <w:rFonts w:eastAsia="Arial" w:cs="Arial"/>
          <w:color w:val="000000" w:themeColor="text1"/>
          <w:sz w:val="24"/>
          <w:szCs w:val="24"/>
          <w:lang w:val="en-US"/>
        </w:rPr>
        <w:t xml:space="preserve">People with disabilities </w:t>
      </w:r>
      <w:r w:rsidR="2F94BA3C" w:rsidRPr="1E096166">
        <w:rPr>
          <w:rFonts w:eastAsia="Arial" w:cs="Arial"/>
          <w:color w:val="000000" w:themeColor="text1"/>
          <w:sz w:val="24"/>
          <w:szCs w:val="24"/>
          <w:lang w:val="en-US"/>
        </w:rPr>
        <w:t>may be</w:t>
      </w:r>
      <w:r w:rsidRPr="1E096166">
        <w:rPr>
          <w:rFonts w:eastAsia="Arial" w:cs="Arial"/>
          <w:color w:val="000000" w:themeColor="text1"/>
          <w:sz w:val="24"/>
          <w:szCs w:val="24"/>
          <w:lang w:val="en-US"/>
        </w:rPr>
        <w:t xml:space="preserve"> vulnerable</w:t>
      </w:r>
      <w:r w:rsidR="0EE72CD5" w:rsidRPr="1E096166">
        <w:rPr>
          <w:rFonts w:eastAsia="Arial" w:cs="Arial"/>
          <w:color w:val="000000" w:themeColor="text1"/>
          <w:sz w:val="24"/>
          <w:szCs w:val="24"/>
          <w:lang w:val="en-US"/>
        </w:rPr>
        <w:t>;</w:t>
      </w:r>
      <w:r w:rsidRPr="1E096166">
        <w:rPr>
          <w:rFonts w:eastAsia="Arial" w:cs="Arial"/>
          <w:color w:val="000000" w:themeColor="text1"/>
          <w:sz w:val="24"/>
          <w:szCs w:val="24"/>
          <w:lang w:val="en-US"/>
        </w:rPr>
        <w:t xml:space="preserve"> </w:t>
      </w:r>
      <w:r w:rsidR="141DF277" w:rsidRPr="1E096166">
        <w:rPr>
          <w:rFonts w:eastAsia="Arial" w:cs="Arial"/>
          <w:color w:val="000000" w:themeColor="text1"/>
          <w:sz w:val="24"/>
          <w:szCs w:val="24"/>
          <w:lang w:val="en-US"/>
        </w:rPr>
        <w:t>they</w:t>
      </w:r>
      <w:r w:rsidRPr="1E096166">
        <w:rPr>
          <w:rFonts w:eastAsia="Arial" w:cs="Arial"/>
          <w:color w:val="000000" w:themeColor="text1"/>
          <w:sz w:val="24"/>
          <w:szCs w:val="24"/>
          <w:lang w:val="en-US"/>
        </w:rPr>
        <w:t xml:space="preserve"> may lack the ability and</w:t>
      </w:r>
      <w:r w:rsidR="31E18517" w:rsidRPr="1E096166">
        <w:rPr>
          <w:rFonts w:eastAsia="Arial" w:cs="Arial"/>
          <w:color w:val="000000" w:themeColor="text1"/>
          <w:sz w:val="24"/>
          <w:szCs w:val="24"/>
          <w:lang w:val="en-US"/>
        </w:rPr>
        <w:t>/</w:t>
      </w:r>
      <w:r w:rsidRPr="1E096166">
        <w:rPr>
          <w:rFonts w:eastAsia="Arial" w:cs="Arial"/>
          <w:color w:val="000000" w:themeColor="text1"/>
          <w:sz w:val="24"/>
          <w:szCs w:val="24"/>
          <w:lang w:val="en-US"/>
        </w:rPr>
        <w:t xml:space="preserve">or capacity to articulate their </w:t>
      </w:r>
      <w:r w:rsidR="42AEC53C" w:rsidRPr="1E096166">
        <w:rPr>
          <w:rFonts w:eastAsia="Arial" w:cs="Arial"/>
          <w:color w:val="000000" w:themeColor="text1"/>
          <w:sz w:val="24"/>
          <w:szCs w:val="24"/>
          <w:lang w:val="en-US"/>
        </w:rPr>
        <w:t>claim or</w:t>
      </w:r>
      <w:r w:rsidRPr="1E096166">
        <w:rPr>
          <w:rFonts w:eastAsia="Arial" w:cs="Arial"/>
          <w:color w:val="000000" w:themeColor="text1"/>
          <w:sz w:val="24"/>
          <w:szCs w:val="24"/>
          <w:lang w:val="en-US"/>
        </w:rPr>
        <w:t xml:space="preserve"> seek proof. </w:t>
      </w:r>
      <w:r w:rsidR="504247A3" w:rsidRPr="1E096166">
        <w:rPr>
          <w:rFonts w:eastAsia="Arial" w:cs="Arial"/>
          <w:color w:val="000000" w:themeColor="text1"/>
          <w:sz w:val="24"/>
          <w:szCs w:val="24"/>
          <w:lang w:val="en-US"/>
        </w:rPr>
        <w:t>This includes people with intellectual and cognitive disabilities, and those whose mental health impacts on their daily function.</w:t>
      </w:r>
    </w:p>
    <w:p w14:paraId="63A38E0E" w14:textId="605E68F7" w:rsidR="1DCAD173" w:rsidRDefault="33B5BB7E" w:rsidP="775B0364">
      <w:pPr>
        <w:spacing w:after="160"/>
        <w:rPr>
          <w:rFonts w:eastAsia="Arial" w:cs="Arial"/>
          <w:color w:val="000000" w:themeColor="text1"/>
          <w:sz w:val="24"/>
          <w:szCs w:val="24"/>
          <w:lang w:val="en-US"/>
        </w:rPr>
      </w:pPr>
      <w:r w:rsidRPr="775B0364">
        <w:rPr>
          <w:rFonts w:eastAsia="Arial" w:cs="Arial"/>
          <w:color w:val="000000" w:themeColor="text1"/>
          <w:sz w:val="24"/>
          <w:szCs w:val="24"/>
          <w:lang w:val="en-US"/>
        </w:rPr>
        <w:t xml:space="preserve">We note that a considerable proportion of complaints </w:t>
      </w:r>
      <w:r w:rsidR="7C6A677C" w:rsidRPr="775B0364">
        <w:rPr>
          <w:rFonts w:eastAsia="Arial" w:cs="Arial"/>
          <w:color w:val="000000" w:themeColor="text1"/>
          <w:sz w:val="24"/>
          <w:szCs w:val="24"/>
          <w:lang w:val="en-US"/>
        </w:rPr>
        <w:t xml:space="preserve">received by EOC in 2019-20 </w:t>
      </w:r>
      <w:r w:rsidRPr="775B0364">
        <w:rPr>
          <w:rFonts w:eastAsia="Arial" w:cs="Arial"/>
          <w:color w:val="000000" w:themeColor="text1"/>
          <w:sz w:val="24"/>
          <w:szCs w:val="24"/>
          <w:lang w:val="en-US"/>
        </w:rPr>
        <w:t xml:space="preserve">were withdrawn based on the inability of the complaint to provide evidence. We posit that </w:t>
      </w:r>
      <w:r w:rsidR="1DCAD173" w:rsidRPr="775B0364">
        <w:rPr>
          <w:rFonts w:eastAsia="Arial" w:cs="Arial"/>
          <w:color w:val="000000" w:themeColor="text1"/>
          <w:sz w:val="24"/>
          <w:szCs w:val="24"/>
          <w:lang w:val="en-US"/>
        </w:rPr>
        <w:t>the current burden of proof arrangements, and the difficulty of proving discrimination has occurred,</w:t>
      </w:r>
      <w:r w:rsidR="0833A1E9" w:rsidRPr="775B0364">
        <w:rPr>
          <w:rFonts w:eastAsia="Arial" w:cs="Arial"/>
          <w:color w:val="000000" w:themeColor="text1"/>
          <w:sz w:val="24"/>
          <w:szCs w:val="24"/>
          <w:lang w:val="en-US"/>
        </w:rPr>
        <w:t xml:space="preserve"> also</w:t>
      </w:r>
      <w:r w:rsidR="1DCAD173" w:rsidRPr="775B0364">
        <w:rPr>
          <w:rFonts w:eastAsia="Arial" w:cs="Arial"/>
          <w:color w:val="000000" w:themeColor="text1"/>
          <w:sz w:val="24"/>
          <w:szCs w:val="24"/>
          <w:lang w:val="en-US"/>
        </w:rPr>
        <w:t xml:space="preserve"> deters people from making a complaint under the Act. Reversing the Onus of Proof will mean that </w:t>
      </w:r>
      <w:r w:rsidR="62669DCF" w:rsidRPr="775B0364">
        <w:rPr>
          <w:rFonts w:eastAsia="Arial" w:cs="Arial"/>
          <w:color w:val="000000" w:themeColor="text1"/>
          <w:sz w:val="24"/>
          <w:szCs w:val="24"/>
          <w:lang w:val="en-US"/>
        </w:rPr>
        <w:t xml:space="preserve">people with </w:t>
      </w:r>
      <w:r w:rsidR="14C2885B" w:rsidRPr="775B0364">
        <w:rPr>
          <w:rFonts w:eastAsia="Arial" w:cs="Arial"/>
          <w:color w:val="000000" w:themeColor="text1"/>
          <w:sz w:val="24"/>
          <w:szCs w:val="24"/>
          <w:lang w:val="en-US"/>
        </w:rPr>
        <w:t>disabilities</w:t>
      </w:r>
      <w:r w:rsidR="62669DCF" w:rsidRPr="775B0364">
        <w:rPr>
          <w:rFonts w:eastAsia="Arial" w:cs="Arial"/>
          <w:color w:val="000000" w:themeColor="text1"/>
          <w:sz w:val="24"/>
          <w:szCs w:val="24"/>
          <w:lang w:val="en-US"/>
        </w:rPr>
        <w:t xml:space="preserve"> will find it easier to raise a </w:t>
      </w:r>
      <w:r w:rsidR="00C75B09" w:rsidRPr="775B0364">
        <w:rPr>
          <w:rFonts w:eastAsia="Arial" w:cs="Arial"/>
          <w:color w:val="000000" w:themeColor="text1"/>
          <w:sz w:val="24"/>
          <w:szCs w:val="24"/>
          <w:lang w:val="en-US"/>
        </w:rPr>
        <w:t>complaint or</w:t>
      </w:r>
      <w:r w:rsidR="62669DCF" w:rsidRPr="775B0364">
        <w:rPr>
          <w:rFonts w:eastAsia="Arial" w:cs="Arial"/>
          <w:color w:val="000000" w:themeColor="text1"/>
          <w:sz w:val="24"/>
          <w:szCs w:val="24"/>
          <w:lang w:val="en-US"/>
        </w:rPr>
        <w:t xml:space="preserve"> have someone raise a complaint on their behalf where the particulars of a matter cannot be determined </w:t>
      </w:r>
      <w:r w:rsidR="00C75B09" w:rsidRPr="775B0364">
        <w:rPr>
          <w:rFonts w:eastAsia="Arial" w:cs="Arial"/>
          <w:color w:val="000000" w:themeColor="text1"/>
          <w:sz w:val="24"/>
          <w:szCs w:val="24"/>
          <w:lang w:val="en-US"/>
        </w:rPr>
        <w:t>e.g.,</w:t>
      </w:r>
      <w:r w:rsidR="27721965" w:rsidRPr="775B0364">
        <w:rPr>
          <w:rFonts w:eastAsia="Arial" w:cs="Arial"/>
          <w:color w:val="000000" w:themeColor="text1"/>
          <w:sz w:val="24"/>
          <w:szCs w:val="24"/>
          <w:lang w:val="en-US"/>
        </w:rPr>
        <w:t xml:space="preserve"> where a person has an impairment which impacts on their ability to recall exact details.</w:t>
      </w:r>
    </w:p>
    <w:p w14:paraId="3578A403" w14:textId="77777777" w:rsidR="00DB6F80" w:rsidRDefault="00DB6F80" w:rsidP="775B0364">
      <w:pPr>
        <w:spacing w:before="0" w:after="0"/>
        <w:rPr>
          <w:rFonts w:eastAsia="Arial" w:cs="Arial"/>
          <w:b/>
          <w:bCs/>
          <w:color w:val="000000" w:themeColor="text1"/>
          <w:sz w:val="24"/>
          <w:szCs w:val="24"/>
          <w:lang w:val="en-AU"/>
        </w:rPr>
      </w:pPr>
    </w:p>
    <w:p w14:paraId="62DB6374" w14:textId="7038E9FE" w:rsidR="0EFC6183" w:rsidRDefault="0EFC6183" w:rsidP="775B0364">
      <w:pPr>
        <w:spacing w:before="0" w:after="0"/>
        <w:rPr>
          <w:rFonts w:eastAsia="Arial" w:cs="Arial"/>
          <w:color w:val="000000" w:themeColor="text1"/>
          <w:sz w:val="24"/>
          <w:szCs w:val="24"/>
          <w:lang w:val="en-US"/>
        </w:rPr>
      </w:pPr>
      <w:r w:rsidRPr="775B0364">
        <w:rPr>
          <w:rFonts w:eastAsia="Arial" w:cs="Arial"/>
          <w:b/>
          <w:bCs/>
          <w:color w:val="000000" w:themeColor="text1"/>
          <w:sz w:val="24"/>
          <w:szCs w:val="24"/>
          <w:lang w:val="en-AU"/>
        </w:rPr>
        <w:lastRenderedPageBreak/>
        <w:t xml:space="preserve">Assistance or therapeutic animals </w:t>
      </w:r>
    </w:p>
    <w:p w14:paraId="040C2C01" w14:textId="451FF254" w:rsidR="0EFC6183" w:rsidRDefault="0EFC6183" w:rsidP="775B0364">
      <w:pPr>
        <w:spacing w:before="0" w:after="0"/>
        <w:rPr>
          <w:rFonts w:eastAsia="Arial" w:cs="Arial"/>
          <w:color w:val="000000" w:themeColor="text1"/>
          <w:sz w:val="24"/>
          <w:szCs w:val="24"/>
          <w:lang w:val="en-US"/>
        </w:rPr>
      </w:pPr>
      <w:r w:rsidRPr="775B0364">
        <w:rPr>
          <w:rFonts w:eastAsia="Arial" w:cs="Arial"/>
          <w:color w:val="000000" w:themeColor="text1"/>
          <w:sz w:val="24"/>
          <w:szCs w:val="24"/>
          <w:lang w:val="en-AU"/>
        </w:rPr>
        <w:t xml:space="preserve">PWdWA support the extension of the Act to include any assistance animal certified by an </w:t>
      </w:r>
      <w:r w:rsidRPr="775B0364">
        <w:rPr>
          <w:rFonts w:eastAsia="Arial" w:cs="Arial"/>
          <w:i/>
          <w:iCs/>
          <w:color w:val="000000" w:themeColor="text1"/>
          <w:sz w:val="24"/>
          <w:szCs w:val="24"/>
          <w:lang w:val="en-AU"/>
        </w:rPr>
        <w:t xml:space="preserve">accredited </w:t>
      </w:r>
      <w:r w:rsidRPr="775B0364">
        <w:rPr>
          <w:rFonts w:eastAsia="Arial" w:cs="Arial"/>
          <w:color w:val="000000" w:themeColor="text1"/>
          <w:sz w:val="24"/>
          <w:szCs w:val="24"/>
          <w:lang w:val="en-AU"/>
        </w:rPr>
        <w:t>medical practitioner or regulation. We note Section 66</w:t>
      </w:r>
      <w:proofErr w:type="gramStart"/>
      <w:r w:rsidRPr="775B0364">
        <w:rPr>
          <w:rFonts w:eastAsia="Arial" w:cs="Arial"/>
          <w:color w:val="000000" w:themeColor="text1"/>
          <w:sz w:val="24"/>
          <w:szCs w:val="24"/>
          <w:lang w:val="en-AU"/>
        </w:rPr>
        <w:t>A(</w:t>
      </w:r>
      <w:proofErr w:type="gramEnd"/>
      <w:r w:rsidRPr="775B0364">
        <w:rPr>
          <w:rFonts w:eastAsia="Arial" w:cs="Arial"/>
          <w:color w:val="000000" w:themeColor="text1"/>
          <w:sz w:val="24"/>
          <w:szCs w:val="24"/>
          <w:lang w:val="en-AU"/>
        </w:rPr>
        <w:t>4) specifically mentions blind, deaf, partially blind, and partially deaf persons as the aggrieved persons and that these qualifiers would need to be removed in broadening the scope of the Act. PWdWA have supported several individuals with a range of disabilities applying for funding through the NDIS for an assistance animal which does not fall into the guide or hearing dog category. We believe that extending the terminology will ensure that the Act is inclusive of the diverse range of assistance animals needs in the community.</w:t>
      </w:r>
    </w:p>
    <w:p w14:paraId="2D3B65C9" w14:textId="1F70F109" w:rsidR="0EFC6183" w:rsidRDefault="0EFC6183" w:rsidP="1E096166">
      <w:pPr>
        <w:spacing w:after="160"/>
        <w:rPr>
          <w:rFonts w:eastAsia="Arial" w:cs="Arial"/>
          <w:color w:val="000000" w:themeColor="text1"/>
          <w:sz w:val="24"/>
          <w:szCs w:val="24"/>
          <w:lang w:val="en-US"/>
        </w:rPr>
      </w:pPr>
      <w:r w:rsidRPr="1E096166">
        <w:rPr>
          <w:rFonts w:eastAsia="Arial" w:cs="Arial"/>
          <w:color w:val="000000" w:themeColor="text1"/>
          <w:sz w:val="24"/>
          <w:szCs w:val="24"/>
          <w:lang w:val="en-AU"/>
        </w:rPr>
        <w:t>The consultation refers to both assistance and therapeutic animals. PWdWA would suggest the terminology “assistance animal” be adopted. The WA government does not use the term “therapeutic” or “therapy” when referring to animals which can be accredited to support a person with a disability or medical condition</w:t>
      </w:r>
      <w:r w:rsidRPr="00DB6F80">
        <w:rPr>
          <w:rFonts w:eastAsia="Arial" w:cs="Arial"/>
          <w:color w:val="000000" w:themeColor="text1"/>
          <w:sz w:val="24"/>
          <w:szCs w:val="24"/>
          <w:lang w:val="en-AU"/>
        </w:rPr>
        <w:t>.</w:t>
      </w:r>
      <w:r w:rsidRPr="1E096166">
        <w:rPr>
          <w:rFonts w:eastAsia="Arial" w:cs="Arial"/>
          <w:color w:val="000000" w:themeColor="text1"/>
          <w:sz w:val="24"/>
          <w:szCs w:val="24"/>
          <w:lang w:val="en-AU"/>
        </w:rPr>
        <w:t xml:space="preserve"> When referring to “Therapy Dogs” the WA Government specifically refers to:</w:t>
      </w:r>
    </w:p>
    <w:p w14:paraId="0690FDB4" w14:textId="6A924632" w:rsidR="0EFC6183" w:rsidRDefault="0EFC6183" w:rsidP="1E096166">
      <w:pPr>
        <w:spacing w:after="160"/>
        <w:rPr>
          <w:rFonts w:eastAsia="Arial" w:cs="Arial"/>
          <w:color w:val="000000" w:themeColor="text1"/>
          <w:sz w:val="24"/>
          <w:szCs w:val="24"/>
          <w:lang w:val="en-US"/>
        </w:rPr>
      </w:pPr>
      <w:r w:rsidRPr="1E096166">
        <w:rPr>
          <w:rFonts w:eastAsia="Arial" w:cs="Arial"/>
          <w:color w:val="000000" w:themeColor="text1"/>
          <w:sz w:val="24"/>
          <w:szCs w:val="24"/>
          <w:lang w:val="en-AU"/>
        </w:rPr>
        <w:t>“...where a dog is brought to a patient (or vice versa) for the purpose of allowing the patient to pet or spend time with the dog</w:t>
      </w:r>
      <w:r w:rsidRPr="00DB6F80">
        <w:rPr>
          <w:rFonts w:eastAsia="Arial" w:cs="Arial"/>
          <w:color w:val="000000" w:themeColor="text1"/>
          <w:sz w:val="24"/>
          <w:szCs w:val="24"/>
          <w:lang w:val="en-AU"/>
        </w:rPr>
        <w:t>.</w:t>
      </w:r>
      <w:r w:rsidR="009905DA" w:rsidRPr="00DB6F80">
        <w:rPr>
          <w:rStyle w:val="FootnoteReference"/>
          <w:rFonts w:eastAsia="Arial" w:cs="Arial"/>
          <w:color w:val="000000" w:themeColor="text1"/>
          <w:sz w:val="24"/>
          <w:szCs w:val="24"/>
          <w:lang w:val="en-AU"/>
        </w:rPr>
        <w:footnoteReference w:id="3"/>
      </w:r>
      <w:r w:rsidRPr="1E096166">
        <w:rPr>
          <w:rFonts w:eastAsia="Arial" w:cs="Arial"/>
          <w:color w:val="000000" w:themeColor="text1"/>
          <w:sz w:val="24"/>
          <w:szCs w:val="24"/>
          <w:lang w:val="en-AU"/>
        </w:rPr>
        <w:t xml:space="preserve"> </w:t>
      </w:r>
    </w:p>
    <w:p w14:paraId="133CD3B2" w14:textId="2304DF32" w:rsidR="0EFC6183" w:rsidRDefault="0EFC6183" w:rsidP="1E096166">
      <w:pPr>
        <w:spacing w:after="160"/>
        <w:rPr>
          <w:rFonts w:eastAsia="Arial" w:cs="Arial"/>
          <w:color w:val="000000" w:themeColor="text1"/>
          <w:sz w:val="24"/>
          <w:szCs w:val="24"/>
          <w:lang w:val="en-US"/>
        </w:rPr>
      </w:pPr>
      <w:r w:rsidRPr="1E096166">
        <w:rPr>
          <w:rFonts w:eastAsia="Arial" w:cs="Arial"/>
          <w:color w:val="000000" w:themeColor="text1"/>
          <w:sz w:val="24"/>
          <w:szCs w:val="24"/>
          <w:lang w:val="en-AU"/>
        </w:rPr>
        <w:t>They distinguish therapy dogs from other assistance animals on the basis that they are not required to accompany a handler in their day-to-day activities. Additionally, the D</w:t>
      </w:r>
      <w:r w:rsidR="005D32F6">
        <w:rPr>
          <w:rFonts w:eastAsia="Arial" w:cs="Arial"/>
          <w:color w:val="000000" w:themeColor="text1"/>
          <w:sz w:val="24"/>
          <w:szCs w:val="24"/>
          <w:lang w:val="en-AU"/>
        </w:rPr>
        <w:t xml:space="preserve">DA </w:t>
      </w:r>
      <w:r w:rsidRPr="1E096166">
        <w:rPr>
          <w:rFonts w:eastAsia="Arial" w:cs="Arial"/>
          <w:color w:val="000000" w:themeColor="text1"/>
          <w:sz w:val="24"/>
          <w:szCs w:val="24"/>
          <w:lang w:val="en-AU"/>
        </w:rPr>
        <w:t xml:space="preserve">1992 specifically uses the terminology “assistance” rather than “therapeutic”. </w:t>
      </w:r>
    </w:p>
    <w:p w14:paraId="009BC663" w14:textId="547664E1" w:rsidR="0EFC6183" w:rsidRDefault="0EFC6183" w:rsidP="775B0364">
      <w:pPr>
        <w:spacing w:after="160"/>
        <w:rPr>
          <w:rFonts w:eastAsia="Arial" w:cs="Arial"/>
          <w:color w:val="000000" w:themeColor="text1"/>
          <w:sz w:val="24"/>
          <w:szCs w:val="24"/>
          <w:lang w:val="en-US"/>
        </w:rPr>
      </w:pPr>
      <w:r w:rsidRPr="775B0364">
        <w:rPr>
          <w:rFonts w:eastAsia="Arial" w:cs="Arial"/>
          <w:color w:val="000000" w:themeColor="text1"/>
          <w:sz w:val="24"/>
          <w:szCs w:val="24"/>
          <w:lang w:val="en-AU"/>
        </w:rPr>
        <w:t xml:space="preserve">We believe adopting the term “assistance animal” rather than “therapeutic animal” will bring the legislation in line with the accepted terminology in the </w:t>
      </w:r>
      <w:r w:rsidR="305BA670" w:rsidRPr="775B0364">
        <w:rPr>
          <w:rFonts w:eastAsia="Arial" w:cs="Arial"/>
          <w:color w:val="000000" w:themeColor="text1"/>
          <w:sz w:val="24"/>
          <w:szCs w:val="24"/>
          <w:lang w:val="en-AU"/>
        </w:rPr>
        <w:t>community and</w:t>
      </w:r>
      <w:r w:rsidRPr="775B0364">
        <w:rPr>
          <w:rFonts w:eastAsia="Arial" w:cs="Arial"/>
          <w:color w:val="000000" w:themeColor="text1"/>
          <w:sz w:val="24"/>
          <w:szCs w:val="24"/>
          <w:lang w:val="en-AU"/>
        </w:rPr>
        <w:t xml:space="preserve"> minimise any confusion that might arise with different terminology.</w:t>
      </w:r>
    </w:p>
    <w:p w14:paraId="1FCC6547" w14:textId="397F3520" w:rsidR="63751B69" w:rsidRDefault="63751B69" w:rsidP="1E096166">
      <w:pPr>
        <w:pStyle w:val="paragraph"/>
        <w:spacing w:before="0" w:beforeAutospacing="0" w:after="24" w:afterAutospacing="0" w:line="360" w:lineRule="auto"/>
        <w:rPr>
          <w:rStyle w:val="eop"/>
          <w:rFonts w:ascii="Arial" w:eastAsia="Arial" w:hAnsi="Arial" w:cs="Arial"/>
          <w:b/>
          <w:bCs/>
        </w:rPr>
      </w:pPr>
    </w:p>
    <w:p w14:paraId="3639E227" w14:textId="4F51E550" w:rsidR="241C990C" w:rsidRDefault="241C990C" w:rsidP="1E096166">
      <w:pPr>
        <w:pStyle w:val="paragraph"/>
        <w:spacing w:before="0" w:beforeAutospacing="0" w:after="24" w:afterAutospacing="0" w:line="360" w:lineRule="auto"/>
        <w:rPr>
          <w:rStyle w:val="eop"/>
          <w:rFonts w:ascii="Arial" w:eastAsia="Arial" w:hAnsi="Arial" w:cs="Arial"/>
        </w:rPr>
      </w:pPr>
      <w:r w:rsidRPr="1E096166">
        <w:rPr>
          <w:rStyle w:val="eop"/>
          <w:rFonts w:ascii="Arial" w:eastAsia="Arial" w:hAnsi="Arial" w:cs="Arial"/>
          <w:b/>
          <w:bCs/>
        </w:rPr>
        <w:t>Unpaid or Volunteer Work</w:t>
      </w:r>
    </w:p>
    <w:p w14:paraId="0EB2C03B" w14:textId="6E41E3F0" w:rsidR="223E7F82" w:rsidRDefault="223E7F82" w:rsidP="1E096166">
      <w:pPr>
        <w:pStyle w:val="paragraph"/>
        <w:spacing w:before="0" w:beforeAutospacing="0" w:after="24" w:afterAutospacing="0" w:line="360" w:lineRule="auto"/>
        <w:rPr>
          <w:rStyle w:val="eop"/>
          <w:rFonts w:ascii="Arial" w:eastAsia="Arial" w:hAnsi="Arial" w:cs="Arial"/>
        </w:rPr>
      </w:pPr>
      <w:r w:rsidRPr="1E096166">
        <w:rPr>
          <w:rStyle w:val="eop"/>
          <w:rFonts w:ascii="Arial" w:eastAsia="Arial" w:hAnsi="Arial" w:cs="Arial"/>
        </w:rPr>
        <w:t xml:space="preserve">PWdWA supports the inclusion of unpaid or volunteer workers </w:t>
      </w:r>
      <w:r w:rsidR="01FFBAC5" w:rsidRPr="1E096166">
        <w:rPr>
          <w:rStyle w:val="eop"/>
          <w:rFonts w:ascii="Arial" w:eastAsia="Arial" w:hAnsi="Arial" w:cs="Arial"/>
        </w:rPr>
        <w:t>in the definition of employees</w:t>
      </w:r>
      <w:r w:rsidR="2FC2731A" w:rsidRPr="1E096166">
        <w:rPr>
          <w:rStyle w:val="eop"/>
          <w:rFonts w:ascii="Arial" w:eastAsia="Arial" w:hAnsi="Arial" w:cs="Arial"/>
        </w:rPr>
        <w:t>, and under the protections from sexual harassment</w:t>
      </w:r>
      <w:r w:rsidR="01FFBAC5" w:rsidRPr="1E096166">
        <w:rPr>
          <w:rStyle w:val="eop"/>
          <w:rFonts w:ascii="Arial" w:eastAsia="Arial" w:hAnsi="Arial" w:cs="Arial"/>
        </w:rPr>
        <w:t xml:space="preserve">. PWdWA is aware of cases where unpaid students on placements have </w:t>
      </w:r>
      <w:r w:rsidR="7CA188A4" w:rsidRPr="1E096166">
        <w:rPr>
          <w:rStyle w:val="eop"/>
          <w:rFonts w:ascii="Arial" w:eastAsia="Arial" w:hAnsi="Arial" w:cs="Arial"/>
        </w:rPr>
        <w:t>been deni</w:t>
      </w:r>
      <w:r w:rsidR="01FFBAC5" w:rsidRPr="1E096166">
        <w:rPr>
          <w:rStyle w:val="eop"/>
          <w:rFonts w:ascii="Arial" w:eastAsia="Arial" w:hAnsi="Arial" w:cs="Arial"/>
        </w:rPr>
        <w:t xml:space="preserve">ed reasonable </w:t>
      </w:r>
      <w:r w:rsidR="01FFBAC5" w:rsidRPr="1E096166">
        <w:rPr>
          <w:rStyle w:val="eop"/>
          <w:rFonts w:ascii="Arial" w:eastAsia="Arial" w:hAnsi="Arial" w:cs="Arial"/>
        </w:rPr>
        <w:lastRenderedPageBreak/>
        <w:t>adjustments</w:t>
      </w:r>
      <w:r w:rsidR="399668BF" w:rsidRPr="1E096166">
        <w:rPr>
          <w:rStyle w:val="eop"/>
          <w:rFonts w:ascii="Arial" w:eastAsia="Arial" w:hAnsi="Arial" w:cs="Arial"/>
        </w:rPr>
        <w:t xml:space="preserve"> by the placement organisation</w:t>
      </w:r>
      <w:r w:rsidR="75A6E9B3" w:rsidRPr="1E096166">
        <w:rPr>
          <w:rStyle w:val="eop"/>
          <w:rFonts w:ascii="Arial" w:eastAsia="Arial" w:hAnsi="Arial" w:cs="Arial"/>
        </w:rPr>
        <w:t xml:space="preserve"> which would</w:t>
      </w:r>
      <w:r w:rsidR="01FFBAC5" w:rsidRPr="1E096166">
        <w:rPr>
          <w:rStyle w:val="eop"/>
          <w:rFonts w:ascii="Arial" w:eastAsia="Arial" w:hAnsi="Arial" w:cs="Arial"/>
        </w:rPr>
        <w:t xml:space="preserve"> enable</w:t>
      </w:r>
      <w:r w:rsidR="3E6B6C1D" w:rsidRPr="1E096166">
        <w:rPr>
          <w:rStyle w:val="eop"/>
          <w:rFonts w:ascii="Arial" w:eastAsia="Arial" w:hAnsi="Arial" w:cs="Arial"/>
        </w:rPr>
        <w:t xml:space="preserve"> them to complete their placements. </w:t>
      </w:r>
      <w:r w:rsidR="1D222A97" w:rsidRPr="1E096166">
        <w:rPr>
          <w:rStyle w:val="eop"/>
          <w:rFonts w:ascii="Arial" w:eastAsia="Arial" w:hAnsi="Arial" w:cs="Arial"/>
        </w:rPr>
        <w:t xml:space="preserve">This has profound consequences to their grades, enrolment, and ability to complete their studies. </w:t>
      </w:r>
      <w:r w:rsidR="0AF6CBAF" w:rsidRPr="1E096166">
        <w:rPr>
          <w:rStyle w:val="eop"/>
          <w:rFonts w:ascii="Arial" w:eastAsia="Arial" w:hAnsi="Arial" w:cs="Arial"/>
        </w:rPr>
        <w:t xml:space="preserve">Additionally, we see no reason </w:t>
      </w:r>
      <w:r w:rsidR="77D44EEB" w:rsidRPr="1E096166">
        <w:rPr>
          <w:rStyle w:val="eop"/>
          <w:rFonts w:ascii="Arial" w:eastAsia="Arial" w:hAnsi="Arial" w:cs="Arial"/>
        </w:rPr>
        <w:t>an</w:t>
      </w:r>
      <w:r w:rsidR="0AF6CBAF" w:rsidRPr="1E096166">
        <w:rPr>
          <w:rStyle w:val="eop"/>
          <w:rFonts w:ascii="Arial" w:eastAsia="Arial" w:hAnsi="Arial" w:cs="Arial"/>
        </w:rPr>
        <w:t xml:space="preserve"> </w:t>
      </w:r>
      <w:r w:rsidR="0B7AFDD1" w:rsidRPr="1E096166">
        <w:rPr>
          <w:rStyle w:val="eop"/>
          <w:rFonts w:ascii="Arial" w:eastAsia="Arial" w:hAnsi="Arial" w:cs="Arial"/>
        </w:rPr>
        <w:t xml:space="preserve">unpaid worker and </w:t>
      </w:r>
      <w:r w:rsidR="0AF6CBAF" w:rsidRPr="1E096166">
        <w:rPr>
          <w:rStyle w:val="eop"/>
          <w:rFonts w:ascii="Arial" w:eastAsia="Arial" w:hAnsi="Arial" w:cs="Arial"/>
        </w:rPr>
        <w:t xml:space="preserve">volunteer should not have the same protection from discrimination as a waged employee. </w:t>
      </w:r>
    </w:p>
    <w:p w14:paraId="3B1781BB" w14:textId="77777777" w:rsidR="00824F64" w:rsidRDefault="00824F64" w:rsidP="1E096166">
      <w:pPr>
        <w:pStyle w:val="paragraph"/>
        <w:spacing w:before="0" w:beforeAutospacing="0" w:after="24" w:afterAutospacing="0" w:line="360" w:lineRule="auto"/>
        <w:rPr>
          <w:rStyle w:val="eop"/>
          <w:rFonts w:ascii="Arial" w:eastAsia="Arial" w:hAnsi="Arial" w:cs="Arial"/>
          <w:i/>
          <w:iCs/>
        </w:rPr>
      </w:pPr>
    </w:p>
    <w:p w14:paraId="683876E3" w14:textId="7092641C" w:rsidR="4136797E" w:rsidRDefault="4136797E" w:rsidP="1E096166">
      <w:pPr>
        <w:pStyle w:val="paragraph"/>
        <w:spacing w:before="0" w:beforeAutospacing="0" w:after="24" w:afterAutospacing="0" w:line="360" w:lineRule="auto"/>
        <w:rPr>
          <w:rStyle w:val="eop"/>
          <w:rFonts w:ascii="Arial" w:eastAsia="Arial" w:hAnsi="Arial" w:cs="Arial"/>
          <w:i/>
          <w:iCs/>
        </w:rPr>
      </w:pPr>
      <w:r w:rsidRPr="1E096166">
        <w:rPr>
          <w:rStyle w:val="eop"/>
          <w:rFonts w:ascii="Arial" w:eastAsia="Arial" w:hAnsi="Arial" w:cs="Arial"/>
          <w:i/>
          <w:iCs/>
        </w:rPr>
        <w:t>Case Study: Mary</w:t>
      </w:r>
    </w:p>
    <w:p w14:paraId="30AD2CC6" w14:textId="659C69D4" w:rsidR="4136797E" w:rsidRDefault="4136797E" w:rsidP="1E096166">
      <w:pPr>
        <w:pStyle w:val="paragraph"/>
        <w:spacing w:before="0" w:beforeAutospacing="0" w:after="24" w:afterAutospacing="0" w:line="360" w:lineRule="auto"/>
        <w:rPr>
          <w:rStyle w:val="eop"/>
          <w:rFonts w:ascii="Arial" w:eastAsia="Arial" w:hAnsi="Arial" w:cs="Arial"/>
          <w:i/>
          <w:iCs/>
        </w:rPr>
      </w:pPr>
      <w:r w:rsidRPr="1E096166">
        <w:rPr>
          <w:rStyle w:val="eop"/>
          <w:rFonts w:ascii="Arial" w:eastAsia="Arial" w:hAnsi="Arial" w:cs="Arial"/>
          <w:i/>
          <w:iCs/>
        </w:rPr>
        <w:t xml:space="preserve">Mary </w:t>
      </w:r>
      <w:r w:rsidR="03097DBA" w:rsidRPr="1E096166">
        <w:rPr>
          <w:rStyle w:val="eop"/>
          <w:rFonts w:ascii="Arial" w:eastAsia="Arial" w:hAnsi="Arial" w:cs="Arial"/>
          <w:i/>
          <w:iCs/>
        </w:rPr>
        <w:t>was studying</w:t>
      </w:r>
      <w:r w:rsidRPr="1E096166">
        <w:rPr>
          <w:rStyle w:val="eop"/>
          <w:rFonts w:ascii="Arial" w:eastAsia="Arial" w:hAnsi="Arial" w:cs="Arial"/>
          <w:i/>
          <w:iCs/>
        </w:rPr>
        <w:t xml:space="preserve"> </w:t>
      </w:r>
      <w:r w:rsidR="03097DBA" w:rsidRPr="1E096166">
        <w:rPr>
          <w:rStyle w:val="eop"/>
          <w:rFonts w:ascii="Arial" w:eastAsia="Arial" w:hAnsi="Arial" w:cs="Arial"/>
          <w:i/>
          <w:iCs/>
        </w:rPr>
        <w:t xml:space="preserve">a university degree that required a placement to be completed. Mary had a Learning Plan in place and had let her placement coordinator know that due to her disability she would require reasonable adjustments on her placement </w:t>
      </w:r>
      <w:r w:rsidR="127EA705" w:rsidRPr="1E096166">
        <w:rPr>
          <w:rStyle w:val="eop"/>
          <w:rFonts w:ascii="Arial" w:eastAsia="Arial" w:hAnsi="Arial" w:cs="Arial"/>
          <w:i/>
          <w:iCs/>
        </w:rPr>
        <w:t>including access</w:t>
      </w:r>
      <w:r w:rsidR="6EA4EAF8" w:rsidRPr="1E096166">
        <w:rPr>
          <w:rStyle w:val="eop"/>
          <w:rFonts w:ascii="Arial" w:eastAsia="Arial" w:hAnsi="Arial" w:cs="Arial"/>
          <w:i/>
          <w:iCs/>
        </w:rPr>
        <w:t xml:space="preserve"> </w:t>
      </w:r>
      <w:r w:rsidR="17629935" w:rsidRPr="1E096166">
        <w:rPr>
          <w:rStyle w:val="eop"/>
          <w:rFonts w:ascii="Arial" w:eastAsia="Arial" w:hAnsi="Arial" w:cs="Arial"/>
          <w:i/>
          <w:iCs/>
        </w:rPr>
        <w:t xml:space="preserve">to a wheelchair when experiencing a flair up in her condition </w:t>
      </w:r>
      <w:r w:rsidR="6EA4EAF8" w:rsidRPr="1E096166">
        <w:rPr>
          <w:rStyle w:val="eop"/>
          <w:rFonts w:ascii="Arial" w:eastAsia="Arial" w:hAnsi="Arial" w:cs="Arial"/>
          <w:i/>
          <w:iCs/>
        </w:rPr>
        <w:t>and a backpack to carry her placement study materials.</w:t>
      </w:r>
      <w:r w:rsidR="02FB44A0" w:rsidRPr="1E096166">
        <w:rPr>
          <w:rStyle w:val="eop"/>
          <w:rFonts w:ascii="Arial" w:eastAsia="Arial" w:hAnsi="Arial" w:cs="Arial"/>
          <w:i/>
          <w:iCs/>
        </w:rPr>
        <w:t xml:space="preserve"> While on placement she was denied access to these reasonable adjustments</w:t>
      </w:r>
      <w:r w:rsidR="21E59736" w:rsidRPr="1E096166">
        <w:rPr>
          <w:rStyle w:val="eop"/>
          <w:rFonts w:ascii="Arial" w:eastAsia="Arial" w:hAnsi="Arial" w:cs="Arial"/>
          <w:i/>
          <w:iCs/>
        </w:rPr>
        <w:t>.</w:t>
      </w:r>
      <w:r w:rsidR="21E59736" w:rsidRPr="1E096166">
        <w:rPr>
          <w:rStyle w:val="eop"/>
          <w:rFonts w:ascii="Arial" w:eastAsia="Arial" w:hAnsi="Arial" w:cs="Arial"/>
        </w:rPr>
        <w:t xml:space="preserve"> </w:t>
      </w:r>
      <w:r w:rsidR="21E59736" w:rsidRPr="1E096166">
        <w:rPr>
          <w:rStyle w:val="eop"/>
          <w:rFonts w:ascii="Arial" w:eastAsia="Arial" w:hAnsi="Arial" w:cs="Arial"/>
          <w:i/>
          <w:iCs/>
        </w:rPr>
        <w:t>As a result, she could not continue the placement without putting her health at risk which led to her failing her unit.</w:t>
      </w:r>
    </w:p>
    <w:p w14:paraId="0D2444A9" w14:textId="77777777" w:rsidR="003B64DA" w:rsidRDefault="003B64DA" w:rsidP="1E096166">
      <w:pPr>
        <w:pStyle w:val="paragraph"/>
        <w:spacing w:before="0" w:beforeAutospacing="0" w:after="24" w:afterAutospacing="0" w:line="360" w:lineRule="auto"/>
        <w:rPr>
          <w:rStyle w:val="eop"/>
          <w:rFonts w:ascii="Arial" w:eastAsia="Arial" w:hAnsi="Arial" w:cs="Arial"/>
        </w:rPr>
      </w:pPr>
    </w:p>
    <w:p w14:paraId="5A9B9457" w14:textId="436AC1D7" w:rsidR="02FB44A0" w:rsidRDefault="02FB44A0" w:rsidP="1E096166">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 xml:space="preserve">In this instance although the university </w:t>
      </w:r>
      <w:r w:rsidR="1089EEC2" w:rsidRPr="775B0364">
        <w:rPr>
          <w:rStyle w:val="eop"/>
          <w:rFonts w:ascii="Arial" w:eastAsia="Arial" w:hAnsi="Arial" w:cs="Arial"/>
        </w:rPr>
        <w:t>may have a</w:t>
      </w:r>
      <w:r w:rsidRPr="775B0364">
        <w:rPr>
          <w:rStyle w:val="eop"/>
          <w:rFonts w:ascii="Arial" w:eastAsia="Arial" w:hAnsi="Arial" w:cs="Arial"/>
        </w:rPr>
        <w:t xml:space="preserve"> duty </w:t>
      </w:r>
      <w:r w:rsidR="0092B734" w:rsidRPr="775B0364">
        <w:rPr>
          <w:rStyle w:val="eop"/>
          <w:rFonts w:ascii="Arial" w:eastAsia="Arial" w:hAnsi="Arial" w:cs="Arial"/>
        </w:rPr>
        <w:t>not to discriminate in relation to making a placement</w:t>
      </w:r>
      <w:r w:rsidR="003B64DA">
        <w:rPr>
          <w:rStyle w:val="eop"/>
          <w:rFonts w:ascii="Arial" w:eastAsia="Arial" w:hAnsi="Arial" w:cs="Arial"/>
        </w:rPr>
        <w:t>,</w:t>
      </w:r>
      <w:r w:rsidRPr="775B0364">
        <w:rPr>
          <w:rStyle w:val="eop"/>
          <w:rFonts w:ascii="Arial" w:eastAsia="Arial" w:hAnsi="Arial" w:cs="Arial"/>
        </w:rPr>
        <w:t xml:space="preserve"> the </w:t>
      </w:r>
      <w:r w:rsidR="1852D22D" w:rsidRPr="775B0364">
        <w:rPr>
          <w:rStyle w:val="eop"/>
          <w:rFonts w:ascii="Arial" w:eastAsia="Arial" w:hAnsi="Arial" w:cs="Arial"/>
        </w:rPr>
        <w:t xml:space="preserve">party discriminating against Mary was the organisation with whom she was placed. Under the current legislation Mary could not </w:t>
      </w:r>
      <w:r w:rsidR="463C5506" w:rsidRPr="775B0364">
        <w:rPr>
          <w:rStyle w:val="eop"/>
          <w:rFonts w:ascii="Arial" w:eastAsia="Arial" w:hAnsi="Arial" w:cs="Arial"/>
        </w:rPr>
        <w:t xml:space="preserve">pursue a complaint against the placement organisation and the education institution argued that they </w:t>
      </w:r>
      <w:r w:rsidR="3EBCB784" w:rsidRPr="775B0364">
        <w:rPr>
          <w:rStyle w:val="eop"/>
          <w:rFonts w:ascii="Arial" w:eastAsia="Arial" w:hAnsi="Arial" w:cs="Arial"/>
        </w:rPr>
        <w:t>were</w:t>
      </w:r>
      <w:r w:rsidR="463C5506" w:rsidRPr="775B0364">
        <w:rPr>
          <w:rStyle w:val="eop"/>
          <w:rFonts w:ascii="Arial" w:eastAsia="Arial" w:hAnsi="Arial" w:cs="Arial"/>
        </w:rPr>
        <w:t xml:space="preserve"> not responsible for the conduct of the placement organisation.</w:t>
      </w:r>
    </w:p>
    <w:p w14:paraId="089FC3A4" w14:textId="6728F06D" w:rsidR="4BA1B784" w:rsidRDefault="4BA1B784" w:rsidP="1E096166">
      <w:pPr>
        <w:pStyle w:val="paragraph"/>
        <w:spacing w:before="0" w:beforeAutospacing="0" w:after="24" w:afterAutospacing="0" w:line="360" w:lineRule="auto"/>
        <w:rPr>
          <w:rStyle w:val="eop"/>
          <w:rFonts w:ascii="Arial" w:eastAsia="Arial" w:hAnsi="Arial" w:cs="Arial"/>
        </w:rPr>
      </w:pPr>
      <w:r w:rsidRPr="1E096166">
        <w:rPr>
          <w:rStyle w:val="eop"/>
          <w:rFonts w:ascii="Arial" w:eastAsia="Arial" w:hAnsi="Arial" w:cs="Arial"/>
        </w:rPr>
        <w:t xml:space="preserve"> </w:t>
      </w:r>
    </w:p>
    <w:p w14:paraId="4EB80FCE" w14:textId="4E14ADD6" w:rsidR="02246D42" w:rsidRDefault="02246D42" w:rsidP="1E096166">
      <w:pPr>
        <w:pStyle w:val="paragraph"/>
        <w:spacing w:before="0" w:beforeAutospacing="0" w:after="24" w:afterAutospacing="0" w:line="360" w:lineRule="auto"/>
        <w:rPr>
          <w:rStyle w:val="eop"/>
          <w:rFonts w:ascii="Arial" w:eastAsia="Arial" w:hAnsi="Arial" w:cs="Arial"/>
          <w:b/>
          <w:bCs/>
        </w:rPr>
      </w:pPr>
      <w:r w:rsidRPr="1E096166">
        <w:rPr>
          <w:rStyle w:val="eop"/>
          <w:rFonts w:ascii="Arial" w:eastAsia="Arial" w:hAnsi="Arial" w:cs="Arial"/>
          <w:b/>
          <w:bCs/>
        </w:rPr>
        <w:t>Employment Status</w:t>
      </w:r>
    </w:p>
    <w:p w14:paraId="0DCD979F" w14:textId="221CDEEC" w:rsidR="0D5FE3FC" w:rsidRDefault="0D5FE3FC" w:rsidP="1E096166">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 xml:space="preserve">PWdWA </w:t>
      </w:r>
      <w:r w:rsidR="7456B7C5" w:rsidRPr="775B0364">
        <w:rPr>
          <w:rStyle w:val="eop"/>
          <w:rFonts w:ascii="Arial" w:eastAsia="Arial" w:hAnsi="Arial" w:cs="Arial"/>
        </w:rPr>
        <w:t xml:space="preserve">notes that discrimination based on employment status may </w:t>
      </w:r>
      <w:r w:rsidR="2ACA9B64" w:rsidRPr="775B0364">
        <w:rPr>
          <w:rStyle w:val="eop"/>
          <w:rFonts w:ascii="Arial" w:eastAsia="Arial" w:hAnsi="Arial" w:cs="Arial"/>
        </w:rPr>
        <w:t>be</w:t>
      </w:r>
      <w:r w:rsidR="7456B7C5" w:rsidRPr="775B0364">
        <w:rPr>
          <w:rStyle w:val="eop"/>
          <w:rFonts w:ascii="Arial" w:eastAsia="Arial" w:hAnsi="Arial" w:cs="Arial"/>
        </w:rPr>
        <w:t xml:space="preserve"> linked to the Grounds of Impairment where that Impairment prevents</w:t>
      </w:r>
      <w:r w:rsidR="17FC5F22" w:rsidRPr="775B0364">
        <w:rPr>
          <w:rStyle w:val="eop"/>
          <w:rFonts w:ascii="Arial" w:eastAsia="Arial" w:hAnsi="Arial" w:cs="Arial"/>
        </w:rPr>
        <w:t xml:space="preserve"> or limits</w:t>
      </w:r>
      <w:r w:rsidR="7456B7C5" w:rsidRPr="775B0364">
        <w:rPr>
          <w:rStyle w:val="eop"/>
          <w:rFonts w:ascii="Arial" w:eastAsia="Arial" w:hAnsi="Arial" w:cs="Arial"/>
        </w:rPr>
        <w:t xml:space="preserve"> a per</w:t>
      </w:r>
      <w:r w:rsidR="6E745383" w:rsidRPr="775B0364">
        <w:rPr>
          <w:rStyle w:val="eop"/>
          <w:rFonts w:ascii="Arial" w:eastAsia="Arial" w:hAnsi="Arial" w:cs="Arial"/>
        </w:rPr>
        <w:t>son from working</w:t>
      </w:r>
      <w:r w:rsidRPr="775B0364">
        <w:rPr>
          <w:rStyle w:val="eop"/>
          <w:rFonts w:ascii="Arial" w:eastAsia="Arial" w:hAnsi="Arial" w:cs="Arial"/>
        </w:rPr>
        <w:t>.</w:t>
      </w:r>
      <w:r w:rsidR="78ED1820" w:rsidRPr="775B0364">
        <w:rPr>
          <w:rStyle w:val="eop"/>
          <w:rFonts w:ascii="Arial" w:eastAsia="Arial" w:hAnsi="Arial" w:cs="Arial"/>
        </w:rPr>
        <w:t xml:space="preserve"> There </w:t>
      </w:r>
      <w:r w:rsidR="6BB6ED88" w:rsidRPr="775B0364">
        <w:rPr>
          <w:rStyle w:val="eop"/>
          <w:rFonts w:ascii="Arial" w:eastAsia="Arial" w:hAnsi="Arial" w:cs="Arial"/>
        </w:rPr>
        <w:t>can be</w:t>
      </w:r>
      <w:r w:rsidR="78ED1820" w:rsidRPr="775B0364">
        <w:rPr>
          <w:rStyle w:val="eop"/>
          <w:rFonts w:ascii="Arial" w:eastAsia="Arial" w:hAnsi="Arial" w:cs="Arial"/>
        </w:rPr>
        <w:t xml:space="preserve"> prejudice and stereotypes attached to the receipt of Centrelink payments such as Job Keeper and Disability Support Pension</w:t>
      </w:r>
      <w:r w:rsidR="00BB082A">
        <w:rPr>
          <w:rStyle w:val="eop"/>
          <w:rFonts w:ascii="Arial" w:eastAsia="Arial" w:hAnsi="Arial" w:cs="Arial"/>
        </w:rPr>
        <w:t xml:space="preserve"> (DSP)</w:t>
      </w:r>
      <w:r w:rsidR="78ED1820" w:rsidRPr="775B0364">
        <w:rPr>
          <w:rStyle w:val="eop"/>
          <w:rFonts w:ascii="Arial" w:eastAsia="Arial" w:hAnsi="Arial" w:cs="Arial"/>
        </w:rPr>
        <w:t xml:space="preserve">. </w:t>
      </w:r>
      <w:r w:rsidR="3339101F" w:rsidRPr="775B0364">
        <w:rPr>
          <w:rStyle w:val="eop"/>
          <w:rFonts w:ascii="Arial" w:eastAsia="Arial" w:hAnsi="Arial" w:cs="Arial"/>
        </w:rPr>
        <w:t xml:space="preserve">We also know that the requirements for working </w:t>
      </w:r>
      <w:r w:rsidR="3F365E83" w:rsidRPr="775B0364">
        <w:rPr>
          <w:rStyle w:val="eop"/>
          <w:rFonts w:ascii="Arial" w:eastAsia="Arial" w:hAnsi="Arial" w:cs="Arial"/>
        </w:rPr>
        <w:t>while in receipt of the</w:t>
      </w:r>
      <w:r w:rsidR="3339101F" w:rsidRPr="775B0364">
        <w:rPr>
          <w:rStyle w:val="eop"/>
          <w:rFonts w:ascii="Arial" w:eastAsia="Arial" w:hAnsi="Arial" w:cs="Arial"/>
        </w:rPr>
        <w:t xml:space="preserve"> </w:t>
      </w:r>
      <w:r w:rsidR="00BB082A">
        <w:rPr>
          <w:rStyle w:val="eop"/>
          <w:rFonts w:ascii="Arial" w:eastAsia="Arial" w:hAnsi="Arial" w:cs="Arial"/>
        </w:rPr>
        <w:t xml:space="preserve">DSP </w:t>
      </w:r>
      <w:r w:rsidR="3339101F" w:rsidRPr="775B0364">
        <w:rPr>
          <w:rStyle w:val="eop"/>
          <w:rFonts w:ascii="Arial" w:eastAsia="Arial" w:hAnsi="Arial" w:cs="Arial"/>
        </w:rPr>
        <w:t xml:space="preserve">can be seen to be prohibitive </w:t>
      </w:r>
      <w:r w:rsidR="3D73E66E" w:rsidRPr="775B0364">
        <w:rPr>
          <w:rStyle w:val="eop"/>
          <w:rFonts w:ascii="Arial" w:eastAsia="Arial" w:hAnsi="Arial" w:cs="Arial"/>
        </w:rPr>
        <w:t xml:space="preserve">to employers. </w:t>
      </w:r>
    </w:p>
    <w:p w14:paraId="21D8A660" w14:textId="0D588C29" w:rsidR="4E52528A" w:rsidRDefault="4E52528A"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If the introduction of these new Grounds would make it easier for person with a disability to raise a complaint about discrimination based on their status as a D</w:t>
      </w:r>
      <w:r w:rsidR="00F42311">
        <w:rPr>
          <w:rStyle w:val="eop"/>
          <w:rFonts w:ascii="Arial" w:eastAsia="Arial" w:hAnsi="Arial" w:cs="Arial"/>
        </w:rPr>
        <w:t xml:space="preserve">SP </w:t>
      </w:r>
      <w:r w:rsidR="00E623E8" w:rsidRPr="775B0364">
        <w:rPr>
          <w:rStyle w:val="eop"/>
          <w:rFonts w:ascii="Arial" w:eastAsia="Arial" w:hAnsi="Arial" w:cs="Arial"/>
        </w:rPr>
        <w:t>recipient,</w:t>
      </w:r>
      <w:r w:rsidRPr="775B0364">
        <w:rPr>
          <w:rStyle w:val="eop"/>
          <w:rFonts w:ascii="Arial" w:eastAsia="Arial" w:hAnsi="Arial" w:cs="Arial"/>
        </w:rPr>
        <w:t xml:space="preserve"> then we are supportive of the Ground being introduced.</w:t>
      </w:r>
    </w:p>
    <w:p w14:paraId="392ADE7C" w14:textId="77777777" w:rsidR="002E03D9" w:rsidRDefault="002E03D9" w:rsidP="1E096166">
      <w:pPr>
        <w:pStyle w:val="paragraph"/>
        <w:spacing w:before="0" w:beforeAutospacing="0" w:after="24" w:afterAutospacing="0" w:line="360" w:lineRule="auto"/>
        <w:rPr>
          <w:rStyle w:val="eop"/>
          <w:rFonts w:ascii="Arial" w:eastAsia="Arial" w:hAnsi="Arial" w:cs="Arial"/>
          <w:b/>
          <w:bCs/>
        </w:rPr>
      </w:pPr>
    </w:p>
    <w:p w14:paraId="09A103EC" w14:textId="565C9772" w:rsidR="63751B69" w:rsidRDefault="754D4513" w:rsidP="1E096166">
      <w:pPr>
        <w:pStyle w:val="paragraph"/>
        <w:spacing w:before="0" w:beforeAutospacing="0" w:after="24" w:afterAutospacing="0" w:line="360" w:lineRule="auto"/>
        <w:rPr>
          <w:rStyle w:val="eop"/>
          <w:rFonts w:ascii="Arial" w:eastAsia="Arial" w:hAnsi="Arial" w:cs="Arial"/>
          <w:b/>
          <w:bCs/>
        </w:rPr>
      </w:pPr>
      <w:r w:rsidRPr="775B0364">
        <w:rPr>
          <w:rStyle w:val="eop"/>
          <w:rFonts w:ascii="Arial" w:eastAsia="Arial" w:hAnsi="Arial" w:cs="Arial"/>
          <w:b/>
          <w:bCs/>
        </w:rPr>
        <w:lastRenderedPageBreak/>
        <w:t>Irrelevant Criminal Status</w:t>
      </w:r>
    </w:p>
    <w:p w14:paraId="15706AB0" w14:textId="59B6C6E9" w:rsidR="2D7A6318" w:rsidRDefault="2D7A6318"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 xml:space="preserve">People with </w:t>
      </w:r>
      <w:r w:rsidR="426327FB" w:rsidRPr="775B0364">
        <w:rPr>
          <w:rStyle w:val="eop"/>
          <w:rFonts w:ascii="Arial" w:eastAsia="Arial" w:hAnsi="Arial" w:cs="Arial"/>
        </w:rPr>
        <w:t>disabilities</w:t>
      </w:r>
      <w:r w:rsidRPr="775B0364">
        <w:rPr>
          <w:rStyle w:val="eop"/>
          <w:rFonts w:ascii="Arial" w:eastAsia="Arial" w:hAnsi="Arial" w:cs="Arial"/>
        </w:rPr>
        <w:t xml:space="preserve"> are over-re</w:t>
      </w:r>
      <w:r w:rsidR="79707CC0" w:rsidRPr="775B0364">
        <w:rPr>
          <w:rStyle w:val="eop"/>
          <w:rFonts w:ascii="Arial" w:eastAsia="Arial" w:hAnsi="Arial" w:cs="Arial"/>
        </w:rPr>
        <w:t>presented</w:t>
      </w:r>
      <w:r w:rsidRPr="775B0364">
        <w:rPr>
          <w:rStyle w:val="eop"/>
          <w:rFonts w:ascii="Arial" w:eastAsia="Arial" w:hAnsi="Arial" w:cs="Arial"/>
        </w:rPr>
        <w:t xml:space="preserve"> in all stages of the criminal justice system. It has been PWdWA’s </w:t>
      </w:r>
      <w:r w:rsidR="5E0AF58B" w:rsidRPr="775B0364">
        <w:rPr>
          <w:rStyle w:val="eop"/>
          <w:rFonts w:ascii="Arial" w:eastAsia="Arial" w:hAnsi="Arial" w:cs="Arial"/>
        </w:rPr>
        <w:t>experience</w:t>
      </w:r>
      <w:r w:rsidRPr="775B0364">
        <w:rPr>
          <w:rStyle w:val="eop"/>
          <w:rFonts w:ascii="Arial" w:eastAsia="Arial" w:hAnsi="Arial" w:cs="Arial"/>
        </w:rPr>
        <w:t xml:space="preserve"> </w:t>
      </w:r>
      <w:r w:rsidR="00807847" w:rsidRPr="775B0364">
        <w:rPr>
          <w:rStyle w:val="eop"/>
          <w:rFonts w:ascii="Arial" w:eastAsia="Arial" w:hAnsi="Arial" w:cs="Arial"/>
        </w:rPr>
        <w:t>those behaviours</w:t>
      </w:r>
      <w:r w:rsidR="74BF1286" w:rsidRPr="775B0364">
        <w:rPr>
          <w:rStyle w:val="eop"/>
          <w:rFonts w:ascii="Arial" w:eastAsia="Arial" w:hAnsi="Arial" w:cs="Arial"/>
        </w:rPr>
        <w:t xml:space="preserve"> </w:t>
      </w:r>
      <w:r w:rsidR="4EF3FFF8" w:rsidRPr="775B0364">
        <w:rPr>
          <w:rStyle w:val="eop"/>
          <w:rFonts w:ascii="Arial" w:eastAsia="Arial" w:hAnsi="Arial" w:cs="Arial"/>
        </w:rPr>
        <w:t xml:space="preserve">associated with a </w:t>
      </w:r>
      <w:r w:rsidR="7958D762" w:rsidRPr="775B0364">
        <w:rPr>
          <w:rStyle w:val="eop"/>
          <w:rFonts w:ascii="Arial" w:eastAsia="Arial" w:hAnsi="Arial" w:cs="Arial"/>
        </w:rPr>
        <w:t>person's</w:t>
      </w:r>
      <w:r w:rsidR="4EF3FFF8" w:rsidRPr="775B0364">
        <w:rPr>
          <w:rStyle w:val="eop"/>
          <w:rFonts w:ascii="Arial" w:eastAsia="Arial" w:hAnsi="Arial" w:cs="Arial"/>
        </w:rPr>
        <w:t xml:space="preserve"> disability, often the result of </w:t>
      </w:r>
      <w:r w:rsidR="1651FF50" w:rsidRPr="775B0364">
        <w:rPr>
          <w:rStyle w:val="eop"/>
          <w:rFonts w:ascii="Arial" w:eastAsia="Arial" w:hAnsi="Arial" w:cs="Arial"/>
        </w:rPr>
        <w:t xml:space="preserve">inadequate or inappropriate supports, can </w:t>
      </w:r>
      <w:r w:rsidR="351BD19F" w:rsidRPr="775B0364">
        <w:rPr>
          <w:rStyle w:val="eop"/>
          <w:rFonts w:ascii="Arial" w:eastAsia="Arial" w:hAnsi="Arial" w:cs="Arial"/>
        </w:rPr>
        <w:t>be linked to offending behaviour. This in turn can have consequences on their ability to access services</w:t>
      </w:r>
      <w:r w:rsidR="639366B4" w:rsidRPr="775B0364">
        <w:rPr>
          <w:rStyle w:val="eop"/>
          <w:rFonts w:ascii="Arial" w:eastAsia="Arial" w:hAnsi="Arial" w:cs="Arial"/>
        </w:rPr>
        <w:t>,</w:t>
      </w:r>
      <w:r w:rsidR="351BD19F" w:rsidRPr="775B0364">
        <w:rPr>
          <w:rStyle w:val="eop"/>
          <w:rFonts w:ascii="Arial" w:eastAsia="Arial" w:hAnsi="Arial" w:cs="Arial"/>
        </w:rPr>
        <w:t xml:space="preserve"> supports</w:t>
      </w:r>
      <w:r w:rsidR="2BAA00C5" w:rsidRPr="775B0364">
        <w:rPr>
          <w:rStyle w:val="eop"/>
          <w:rFonts w:ascii="Arial" w:eastAsia="Arial" w:hAnsi="Arial" w:cs="Arial"/>
        </w:rPr>
        <w:t xml:space="preserve"> and community</w:t>
      </w:r>
      <w:r w:rsidR="37ADB87C" w:rsidRPr="775B0364">
        <w:rPr>
          <w:rStyle w:val="eop"/>
          <w:rFonts w:ascii="Arial" w:eastAsia="Arial" w:hAnsi="Arial" w:cs="Arial"/>
        </w:rPr>
        <w:t xml:space="preserve"> as</w:t>
      </w:r>
      <w:r w:rsidR="351BD19F" w:rsidRPr="775B0364">
        <w:rPr>
          <w:rStyle w:val="eop"/>
          <w:rFonts w:ascii="Arial" w:eastAsia="Arial" w:hAnsi="Arial" w:cs="Arial"/>
        </w:rPr>
        <w:t xml:space="preserve"> </w:t>
      </w:r>
      <w:r w:rsidR="761AD350" w:rsidRPr="775B0364">
        <w:rPr>
          <w:rStyle w:val="eop"/>
          <w:rFonts w:ascii="Arial" w:eastAsia="Arial" w:hAnsi="Arial" w:cs="Arial"/>
        </w:rPr>
        <w:t>they may be labelled difficult, or dangerous.</w:t>
      </w:r>
      <w:r w:rsidR="649E473A" w:rsidRPr="775B0364">
        <w:rPr>
          <w:rStyle w:val="eop"/>
          <w:rFonts w:ascii="Arial" w:eastAsia="Arial" w:hAnsi="Arial" w:cs="Arial"/>
        </w:rPr>
        <w:t xml:space="preserve"> These labels can persist even when appropriate supports and services are in place and there is minimal risk of re</w:t>
      </w:r>
      <w:r w:rsidR="38DC2048" w:rsidRPr="775B0364">
        <w:rPr>
          <w:rStyle w:val="eop"/>
          <w:rFonts w:ascii="Arial" w:eastAsia="Arial" w:hAnsi="Arial" w:cs="Arial"/>
        </w:rPr>
        <w:t>-</w:t>
      </w:r>
      <w:r w:rsidR="649E473A" w:rsidRPr="775B0364">
        <w:rPr>
          <w:rStyle w:val="eop"/>
          <w:rFonts w:ascii="Arial" w:eastAsia="Arial" w:hAnsi="Arial" w:cs="Arial"/>
        </w:rPr>
        <w:t>offending.</w:t>
      </w:r>
      <w:r w:rsidR="761AD350" w:rsidRPr="775B0364">
        <w:rPr>
          <w:rStyle w:val="eop"/>
          <w:rFonts w:ascii="Arial" w:eastAsia="Arial" w:hAnsi="Arial" w:cs="Arial"/>
        </w:rPr>
        <w:t xml:space="preserve"> </w:t>
      </w:r>
      <w:r w:rsidR="5F8ABD79" w:rsidRPr="775B0364">
        <w:rPr>
          <w:rStyle w:val="eop"/>
          <w:rFonts w:ascii="Arial" w:eastAsia="Arial" w:hAnsi="Arial" w:cs="Arial"/>
        </w:rPr>
        <w:t>This is on</w:t>
      </w:r>
      <w:r w:rsidR="381C8126" w:rsidRPr="775B0364">
        <w:rPr>
          <w:rStyle w:val="eop"/>
          <w:rFonts w:ascii="Arial" w:eastAsia="Arial" w:hAnsi="Arial" w:cs="Arial"/>
        </w:rPr>
        <w:t xml:space="preserve"> </w:t>
      </w:r>
      <w:r w:rsidR="5F8ABD79" w:rsidRPr="775B0364">
        <w:rPr>
          <w:rStyle w:val="eop"/>
          <w:rFonts w:ascii="Arial" w:eastAsia="Arial" w:hAnsi="Arial" w:cs="Arial"/>
        </w:rPr>
        <w:t>top of the additional barriers that persons with a criminal record face in participating in community.</w:t>
      </w:r>
      <w:r w:rsidR="37A7BF2D" w:rsidRPr="775B0364">
        <w:rPr>
          <w:rStyle w:val="eop"/>
          <w:rFonts w:ascii="Arial" w:eastAsia="Arial" w:hAnsi="Arial" w:cs="Arial"/>
        </w:rPr>
        <w:t xml:space="preserve"> It is not clear whether the Grounds of Impairment would </w:t>
      </w:r>
      <w:r w:rsidR="4B077F30" w:rsidRPr="775B0364">
        <w:rPr>
          <w:rStyle w:val="eop"/>
          <w:rFonts w:ascii="Arial" w:eastAsia="Arial" w:hAnsi="Arial" w:cs="Arial"/>
        </w:rPr>
        <w:t xml:space="preserve">protect individuals in these circumstances. </w:t>
      </w:r>
      <w:r w:rsidR="6E6B27BE" w:rsidRPr="775B0364">
        <w:rPr>
          <w:rStyle w:val="eop"/>
          <w:rFonts w:ascii="Arial" w:eastAsia="Arial" w:hAnsi="Arial" w:cs="Arial"/>
        </w:rPr>
        <w:t>We also note that introducing th</w:t>
      </w:r>
      <w:r w:rsidR="79BA3952" w:rsidRPr="775B0364">
        <w:rPr>
          <w:rStyle w:val="eop"/>
          <w:rFonts w:ascii="Arial" w:eastAsia="Arial" w:hAnsi="Arial" w:cs="Arial"/>
        </w:rPr>
        <w:t>is</w:t>
      </w:r>
      <w:r w:rsidR="6E6B27BE" w:rsidRPr="775B0364">
        <w:rPr>
          <w:rStyle w:val="eop"/>
          <w:rFonts w:ascii="Arial" w:eastAsia="Arial" w:hAnsi="Arial" w:cs="Arial"/>
        </w:rPr>
        <w:t xml:space="preserve"> Ground</w:t>
      </w:r>
      <w:r w:rsidR="5B291E8E" w:rsidRPr="775B0364">
        <w:rPr>
          <w:rStyle w:val="eop"/>
          <w:rFonts w:ascii="Arial" w:eastAsia="Arial" w:hAnsi="Arial" w:cs="Arial"/>
        </w:rPr>
        <w:t>s</w:t>
      </w:r>
      <w:r w:rsidR="6E6B27BE" w:rsidRPr="775B0364">
        <w:rPr>
          <w:rStyle w:val="eop"/>
          <w:rFonts w:ascii="Arial" w:eastAsia="Arial" w:hAnsi="Arial" w:cs="Arial"/>
        </w:rPr>
        <w:t xml:space="preserve"> would bring WA in line with Commonwealth. Therefore, we are supportive of this Grounds being introduced.</w:t>
      </w:r>
    </w:p>
    <w:p w14:paraId="4D181D81" w14:textId="5B078E38" w:rsidR="775B0364" w:rsidRDefault="775B0364" w:rsidP="775B0364">
      <w:pPr>
        <w:pStyle w:val="paragraph"/>
        <w:spacing w:before="0" w:beforeAutospacing="0" w:after="24" w:afterAutospacing="0" w:line="360" w:lineRule="auto"/>
        <w:rPr>
          <w:rStyle w:val="eop"/>
          <w:rFonts w:ascii="Arial" w:eastAsia="Arial" w:hAnsi="Arial" w:cs="Arial"/>
        </w:rPr>
      </w:pPr>
    </w:p>
    <w:p w14:paraId="7E72D47B" w14:textId="74F5AA0F" w:rsidR="40AC4FDB" w:rsidRDefault="40AC4FDB" w:rsidP="775B0364">
      <w:pPr>
        <w:pStyle w:val="paragraph"/>
        <w:spacing w:before="0" w:beforeAutospacing="0" w:after="24" w:afterAutospacing="0" w:line="360" w:lineRule="auto"/>
        <w:rPr>
          <w:rStyle w:val="eop"/>
          <w:rFonts w:ascii="Arial" w:eastAsia="Arial" w:hAnsi="Arial" w:cs="Arial"/>
          <w:b/>
          <w:bCs/>
        </w:rPr>
      </w:pPr>
      <w:r w:rsidRPr="775B0364">
        <w:rPr>
          <w:rStyle w:val="eop"/>
          <w:rFonts w:ascii="Arial" w:eastAsia="Arial" w:hAnsi="Arial" w:cs="Arial"/>
          <w:b/>
          <w:bCs/>
        </w:rPr>
        <w:t>Services</w:t>
      </w:r>
    </w:p>
    <w:p w14:paraId="0261BCD3" w14:textId="235349BA" w:rsidR="40AC4FDB" w:rsidRDefault="40AC4FDB"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PWdWA supports the definition of services to be amended to include state government agencies.</w:t>
      </w:r>
      <w:r w:rsidR="76379752" w:rsidRPr="775B0364">
        <w:rPr>
          <w:rStyle w:val="eop"/>
          <w:rFonts w:ascii="Arial" w:eastAsia="Arial" w:hAnsi="Arial" w:cs="Arial"/>
        </w:rPr>
        <w:t xml:space="preserve"> We have supported several individuals who have raised complaints about State funded services acting in a discriminatory manor. This includes the failure to make reasonable adjustments such as taking complaints over the phone for persons who have di</w:t>
      </w:r>
      <w:r w:rsidR="1A11535F" w:rsidRPr="775B0364">
        <w:rPr>
          <w:rStyle w:val="eop"/>
          <w:rFonts w:ascii="Arial" w:eastAsia="Arial" w:hAnsi="Arial" w:cs="Arial"/>
        </w:rPr>
        <w:t>fficulty writing. While complaints</w:t>
      </w:r>
      <w:r w:rsidR="641587A2" w:rsidRPr="775B0364">
        <w:rPr>
          <w:rStyle w:val="eop"/>
          <w:rFonts w:ascii="Arial" w:eastAsia="Arial" w:hAnsi="Arial" w:cs="Arial"/>
        </w:rPr>
        <w:t xml:space="preserve"> can be made</w:t>
      </w:r>
      <w:r w:rsidR="1A11535F" w:rsidRPr="775B0364">
        <w:rPr>
          <w:rStyle w:val="eop"/>
          <w:rFonts w:ascii="Arial" w:eastAsia="Arial" w:hAnsi="Arial" w:cs="Arial"/>
        </w:rPr>
        <w:t xml:space="preserve"> to the State </w:t>
      </w:r>
      <w:r w:rsidR="36ABD0AE" w:rsidRPr="775B0364">
        <w:rPr>
          <w:rStyle w:val="eop"/>
          <w:rFonts w:ascii="Arial" w:eastAsia="Arial" w:hAnsi="Arial" w:cs="Arial"/>
        </w:rPr>
        <w:t>Ombudsman</w:t>
      </w:r>
      <w:r w:rsidR="367FDF01" w:rsidRPr="775B0364">
        <w:rPr>
          <w:rStyle w:val="eop"/>
          <w:rFonts w:ascii="Arial" w:eastAsia="Arial" w:hAnsi="Arial" w:cs="Arial"/>
        </w:rPr>
        <w:t>,</w:t>
      </w:r>
      <w:r w:rsidR="1A11535F" w:rsidRPr="775B0364">
        <w:rPr>
          <w:rStyle w:val="eop"/>
          <w:rFonts w:ascii="Arial" w:eastAsia="Arial" w:hAnsi="Arial" w:cs="Arial"/>
        </w:rPr>
        <w:t xml:space="preserve"> </w:t>
      </w:r>
      <w:r w:rsidR="2048B037" w:rsidRPr="775B0364">
        <w:rPr>
          <w:rStyle w:val="eop"/>
          <w:rFonts w:ascii="Arial" w:eastAsia="Arial" w:hAnsi="Arial" w:cs="Arial"/>
        </w:rPr>
        <w:t>respondents cannot be forced to act</w:t>
      </w:r>
      <w:r w:rsidR="1A11535F" w:rsidRPr="775B0364">
        <w:rPr>
          <w:rStyle w:val="eop"/>
          <w:rFonts w:ascii="Arial" w:eastAsia="Arial" w:hAnsi="Arial" w:cs="Arial"/>
        </w:rPr>
        <w:t>,</w:t>
      </w:r>
      <w:r w:rsidR="715AC623" w:rsidRPr="775B0364">
        <w:rPr>
          <w:rStyle w:val="eop"/>
          <w:rFonts w:ascii="Arial" w:eastAsia="Arial" w:hAnsi="Arial" w:cs="Arial"/>
        </w:rPr>
        <w:t xml:space="preserve"> and</w:t>
      </w:r>
      <w:r w:rsidR="1A11535F" w:rsidRPr="775B0364">
        <w:rPr>
          <w:rStyle w:val="eop"/>
          <w:rFonts w:ascii="Arial" w:eastAsia="Arial" w:hAnsi="Arial" w:cs="Arial"/>
        </w:rPr>
        <w:t xml:space="preserve"> there is no possibility of compensat</w:t>
      </w:r>
      <w:r w:rsidR="231FE646" w:rsidRPr="775B0364">
        <w:rPr>
          <w:rStyle w:val="eop"/>
          <w:rFonts w:ascii="Arial" w:eastAsia="Arial" w:hAnsi="Arial" w:cs="Arial"/>
        </w:rPr>
        <w:t>ion through this mechanism.</w:t>
      </w:r>
      <w:r w:rsidR="76379752" w:rsidRPr="775B0364">
        <w:rPr>
          <w:rStyle w:val="eop"/>
          <w:rFonts w:ascii="Arial" w:eastAsia="Arial" w:hAnsi="Arial" w:cs="Arial"/>
        </w:rPr>
        <w:t xml:space="preserve"> </w:t>
      </w:r>
      <w:r w:rsidR="06FE5A17" w:rsidRPr="775B0364">
        <w:rPr>
          <w:rStyle w:val="eop"/>
          <w:rFonts w:ascii="Arial" w:eastAsia="Arial" w:hAnsi="Arial" w:cs="Arial"/>
        </w:rPr>
        <w:t>We believe it is entirely appropriate for state government authorities to be held accountable for discriminatory behaviour.</w:t>
      </w:r>
    </w:p>
    <w:p w14:paraId="4B3F0B98" w14:textId="284D8674" w:rsidR="775B0364" w:rsidRDefault="775B0364" w:rsidP="775B0364">
      <w:pPr>
        <w:pStyle w:val="paragraph"/>
        <w:spacing w:before="0" w:beforeAutospacing="0" w:after="24" w:afterAutospacing="0" w:line="360" w:lineRule="auto"/>
        <w:rPr>
          <w:rStyle w:val="eop"/>
        </w:rPr>
      </w:pPr>
    </w:p>
    <w:p w14:paraId="56D714BF" w14:textId="79E71D7D" w:rsidR="0B0BBEBF" w:rsidRDefault="0B0BBEBF" w:rsidP="1E096166">
      <w:pPr>
        <w:pStyle w:val="paragraph"/>
        <w:spacing w:before="0" w:beforeAutospacing="0" w:after="24" w:afterAutospacing="0" w:line="360" w:lineRule="auto"/>
        <w:rPr>
          <w:rStyle w:val="eop"/>
          <w:rFonts w:ascii="Arial" w:eastAsia="Arial" w:hAnsi="Arial" w:cs="Arial"/>
          <w:b/>
          <w:bCs/>
        </w:rPr>
      </w:pPr>
      <w:r w:rsidRPr="775B0364">
        <w:rPr>
          <w:rStyle w:val="eop"/>
          <w:rFonts w:ascii="Arial" w:eastAsia="Arial" w:hAnsi="Arial" w:cs="Arial"/>
          <w:b/>
          <w:bCs/>
        </w:rPr>
        <w:t>Education</w:t>
      </w:r>
    </w:p>
    <w:p w14:paraId="1D2C0484" w14:textId="1A0C6D9D" w:rsidR="48B9EA79" w:rsidRDefault="48B9EA79"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 xml:space="preserve">PWdWA </w:t>
      </w:r>
      <w:r w:rsidR="194E64A9" w:rsidRPr="775B0364">
        <w:rPr>
          <w:rStyle w:val="eop"/>
          <w:rFonts w:ascii="Arial" w:eastAsia="Arial" w:hAnsi="Arial" w:cs="Arial"/>
        </w:rPr>
        <w:t>supports the extension of the area of education to include the evaluation and selection of student</w:t>
      </w:r>
      <w:r w:rsidR="4F5AAFFB" w:rsidRPr="775B0364">
        <w:rPr>
          <w:rStyle w:val="eop"/>
          <w:rFonts w:ascii="Arial" w:eastAsia="Arial" w:hAnsi="Arial" w:cs="Arial"/>
        </w:rPr>
        <w:t xml:space="preserve"> applications</w:t>
      </w:r>
      <w:r w:rsidR="194E64A9" w:rsidRPr="775B0364">
        <w:rPr>
          <w:rStyle w:val="eop"/>
          <w:rFonts w:ascii="Arial" w:eastAsia="Arial" w:hAnsi="Arial" w:cs="Arial"/>
        </w:rPr>
        <w:t xml:space="preserve">. </w:t>
      </w:r>
      <w:r w:rsidR="6A1EA8C2" w:rsidRPr="775B0364">
        <w:rPr>
          <w:rStyle w:val="eop"/>
          <w:rFonts w:ascii="Arial" w:eastAsia="Arial" w:hAnsi="Arial" w:cs="Arial"/>
        </w:rPr>
        <w:t xml:space="preserve">In PWdWA’s experience a </w:t>
      </w:r>
      <w:r w:rsidR="691D74DC" w:rsidRPr="775B0364">
        <w:rPr>
          <w:rStyle w:val="eop"/>
          <w:rFonts w:ascii="Arial" w:eastAsia="Arial" w:hAnsi="Arial" w:cs="Arial"/>
        </w:rPr>
        <w:t>student's</w:t>
      </w:r>
      <w:r w:rsidR="6A1EA8C2" w:rsidRPr="775B0364">
        <w:rPr>
          <w:rStyle w:val="eop"/>
          <w:rFonts w:ascii="Arial" w:eastAsia="Arial" w:hAnsi="Arial" w:cs="Arial"/>
        </w:rPr>
        <w:t xml:space="preserve"> disability can be directly linked to decision</w:t>
      </w:r>
      <w:r w:rsidR="2D8F8EC5" w:rsidRPr="775B0364">
        <w:rPr>
          <w:rStyle w:val="eop"/>
          <w:rFonts w:ascii="Arial" w:eastAsia="Arial" w:hAnsi="Arial" w:cs="Arial"/>
        </w:rPr>
        <w:t>s about</w:t>
      </w:r>
      <w:r w:rsidR="6A1EA8C2" w:rsidRPr="775B0364">
        <w:rPr>
          <w:rStyle w:val="eop"/>
          <w:rFonts w:ascii="Arial" w:eastAsia="Arial" w:hAnsi="Arial" w:cs="Arial"/>
        </w:rPr>
        <w:t xml:space="preserve"> </w:t>
      </w:r>
      <w:r w:rsidR="3FAEAE8F" w:rsidRPr="775B0364">
        <w:rPr>
          <w:rStyle w:val="eop"/>
          <w:rFonts w:ascii="Arial" w:eastAsia="Arial" w:hAnsi="Arial" w:cs="Arial"/>
        </w:rPr>
        <w:t>whether</w:t>
      </w:r>
      <w:r w:rsidR="6A1EA8C2" w:rsidRPr="775B0364">
        <w:rPr>
          <w:rStyle w:val="eop"/>
          <w:rFonts w:ascii="Arial" w:eastAsia="Arial" w:hAnsi="Arial" w:cs="Arial"/>
        </w:rPr>
        <w:t xml:space="preserve"> to </w:t>
      </w:r>
      <w:r w:rsidR="575BF8A0" w:rsidRPr="775B0364">
        <w:rPr>
          <w:rStyle w:val="eop"/>
          <w:rFonts w:ascii="Arial" w:eastAsia="Arial" w:hAnsi="Arial" w:cs="Arial"/>
        </w:rPr>
        <w:t xml:space="preserve">grant </w:t>
      </w:r>
      <w:r w:rsidR="0DD3B925" w:rsidRPr="775B0364">
        <w:rPr>
          <w:rStyle w:val="eop"/>
          <w:rFonts w:ascii="Arial" w:eastAsia="Arial" w:hAnsi="Arial" w:cs="Arial"/>
        </w:rPr>
        <w:t>a</w:t>
      </w:r>
      <w:r w:rsidR="575BF8A0" w:rsidRPr="775B0364">
        <w:rPr>
          <w:rStyle w:val="eop"/>
          <w:rFonts w:ascii="Arial" w:eastAsia="Arial" w:hAnsi="Arial" w:cs="Arial"/>
        </w:rPr>
        <w:t xml:space="preserve"> student admission to </w:t>
      </w:r>
      <w:r w:rsidR="48C83B62" w:rsidRPr="775B0364">
        <w:rPr>
          <w:rStyle w:val="eop"/>
          <w:rFonts w:ascii="Arial" w:eastAsia="Arial" w:hAnsi="Arial" w:cs="Arial"/>
        </w:rPr>
        <w:t>primary and secondary schools</w:t>
      </w:r>
      <w:r w:rsidR="575BF8A0" w:rsidRPr="775B0364">
        <w:rPr>
          <w:rStyle w:val="eop"/>
          <w:rFonts w:ascii="Arial" w:eastAsia="Arial" w:hAnsi="Arial" w:cs="Arial"/>
        </w:rPr>
        <w:t xml:space="preserve">. </w:t>
      </w:r>
      <w:r w:rsidR="3FE09CCE" w:rsidRPr="775B0364">
        <w:rPr>
          <w:rStyle w:val="eop"/>
          <w:rFonts w:ascii="Arial" w:eastAsia="Arial" w:hAnsi="Arial" w:cs="Arial"/>
        </w:rPr>
        <w:t>Additionally,</w:t>
      </w:r>
      <w:r w:rsidR="575BF8A0" w:rsidRPr="775B0364">
        <w:rPr>
          <w:rStyle w:val="eop"/>
          <w:rFonts w:ascii="Arial" w:eastAsia="Arial" w:hAnsi="Arial" w:cs="Arial"/>
        </w:rPr>
        <w:t xml:space="preserve"> w</w:t>
      </w:r>
      <w:r w:rsidR="046CD024" w:rsidRPr="775B0364">
        <w:rPr>
          <w:rStyle w:val="eop"/>
          <w:rFonts w:ascii="Arial" w:eastAsia="Arial" w:hAnsi="Arial" w:cs="Arial"/>
        </w:rPr>
        <w:t>e are aware of students being denied access to tertiary studies on the grounds of their disability</w:t>
      </w:r>
      <w:r w:rsidR="663C3A55" w:rsidRPr="775B0364">
        <w:rPr>
          <w:rStyle w:val="eop"/>
          <w:rFonts w:ascii="Arial" w:eastAsia="Arial" w:hAnsi="Arial" w:cs="Arial"/>
        </w:rPr>
        <w:t>,</w:t>
      </w:r>
      <w:r w:rsidR="046CD024" w:rsidRPr="775B0364">
        <w:rPr>
          <w:rStyle w:val="eop"/>
          <w:rFonts w:ascii="Arial" w:eastAsia="Arial" w:hAnsi="Arial" w:cs="Arial"/>
        </w:rPr>
        <w:t xml:space="preserve"> with the education institution claiming their disability will prevent the student from being able to meet course requirements.</w:t>
      </w:r>
      <w:r w:rsidR="3D91FF7D" w:rsidRPr="775B0364">
        <w:rPr>
          <w:rStyle w:val="eop"/>
          <w:rFonts w:ascii="Arial" w:eastAsia="Arial" w:hAnsi="Arial" w:cs="Arial"/>
        </w:rPr>
        <w:t xml:space="preserve"> With advocacy</w:t>
      </w:r>
      <w:r w:rsidR="00837E8F">
        <w:rPr>
          <w:rStyle w:val="eop"/>
          <w:rFonts w:ascii="Arial" w:eastAsia="Arial" w:hAnsi="Arial" w:cs="Arial"/>
        </w:rPr>
        <w:t>,</w:t>
      </w:r>
      <w:r w:rsidR="3D91FF7D" w:rsidRPr="775B0364">
        <w:rPr>
          <w:rStyle w:val="eop"/>
          <w:rFonts w:ascii="Arial" w:eastAsia="Arial" w:hAnsi="Arial" w:cs="Arial"/>
        </w:rPr>
        <w:t xml:space="preserve"> people have been able to be successfully enrolled, but there is limited ability to have a formal complaint acted on if the </w:t>
      </w:r>
      <w:r w:rsidR="3D91FF7D" w:rsidRPr="775B0364">
        <w:rPr>
          <w:rStyle w:val="eop"/>
          <w:rFonts w:ascii="Arial" w:eastAsia="Arial" w:hAnsi="Arial" w:cs="Arial"/>
        </w:rPr>
        <w:lastRenderedPageBreak/>
        <w:t xml:space="preserve">education institution will </w:t>
      </w:r>
      <w:r w:rsidR="2269D33E" w:rsidRPr="775B0364">
        <w:rPr>
          <w:rStyle w:val="eop"/>
          <w:rFonts w:ascii="Arial" w:eastAsia="Arial" w:hAnsi="Arial" w:cs="Arial"/>
        </w:rPr>
        <w:t>not reverse their decision.</w:t>
      </w:r>
      <w:r>
        <w:br/>
      </w:r>
    </w:p>
    <w:p w14:paraId="1A1B29A6" w14:textId="63A66521" w:rsidR="6E1DFD7D" w:rsidRDefault="6E1DFD7D" w:rsidP="775B0364">
      <w:pPr>
        <w:spacing w:after="160"/>
        <w:rPr>
          <w:rFonts w:eastAsia="Arial" w:cs="Arial"/>
          <w:b/>
          <w:bCs/>
          <w:color w:val="000000" w:themeColor="text1"/>
          <w:sz w:val="24"/>
          <w:szCs w:val="24"/>
          <w:lang w:val="en-AU"/>
        </w:rPr>
      </w:pPr>
      <w:r w:rsidRPr="775B0364">
        <w:rPr>
          <w:rFonts w:eastAsia="Arial" w:cs="Arial"/>
          <w:b/>
          <w:bCs/>
          <w:color w:val="000000" w:themeColor="text1"/>
          <w:sz w:val="24"/>
          <w:szCs w:val="24"/>
          <w:lang w:val="en-AU"/>
        </w:rPr>
        <w:t>State Administrative Tribunal</w:t>
      </w:r>
      <w:r w:rsidR="54943671" w:rsidRPr="775B0364">
        <w:rPr>
          <w:rFonts w:eastAsia="Arial" w:cs="Arial"/>
          <w:b/>
          <w:bCs/>
          <w:color w:val="000000" w:themeColor="text1"/>
          <w:sz w:val="24"/>
          <w:szCs w:val="24"/>
          <w:lang w:val="en-AU"/>
        </w:rPr>
        <w:t xml:space="preserve"> (SAT)</w:t>
      </w:r>
    </w:p>
    <w:p w14:paraId="3D54A841" w14:textId="1A59A172" w:rsidR="6E1DFD7D" w:rsidRDefault="6E1DFD7D" w:rsidP="775B0364">
      <w:pPr>
        <w:spacing w:after="160"/>
        <w:rPr>
          <w:rFonts w:eastAsia="Arial" w:cs="Arial"/>
          <w:color w:val="000000" w:themeColor="text1"/>
          <w:sz w:val="24"/>
          <w:szCs w:val="24"/>
          <w:lang w:val="en-AU"/>
        </w:rPr>
      </w:pPr>
      <w:r w:rsidRPr="775B0364">
        <w:rPr>
          <w:rFonts w:eastAsia="Arial" w:cs="Arial"/>
          <w:color w:val="000000" w:themeColor="text1"/>
          <w:sz w:val="24"/>
          <w:szCs w:val="24"/>
          <w:lang w:val="en-AU"/>
        </w:rPr>
        <w:t xml:space="preserve">We support the amendment of the Act to enlarge SAT’s powers to enforce the obligations of parties during investigation and conciliation. Agreements that are signed in good faith but are not acted upon by respondents not only waste time and resources but prolong the experience of discrimination for the complainant. It can be a long and arduous process for people with disabilities to make discrimination complaints. The lack of easily enforced outcomes just adds to this stress and people may just give up rather than face a further protracted battle. Where agreements have been reached through conciliation these </w:t>
      </w:r>
      <w:r w:rsidR="5AFACCD5" w:rsidRPr="775B0364">
        <w:rPr>
          <w:rFonts w:eastAsia="Arial" w:cs="Arial"/>
          <w:color w:val="000000" w:themeColor="text1"/>
          <w:sz w:val="24"/>
          <w:szCs w:val="24"/>
          <w:lang w:val="en-AU"/>
        </w:rPr>
        <w:t>sh</w:t>
      </w:r>
      <w:r w:rsidRPr="775B0364">
        <w:rPr>
          <w:rFonts w:eastAsia="Arial" w:cs="Arial"/>
          <w:color w:val="000000" w:themeColor="text1"/>
          <w:sz w:val="24"/>
          <w:szCs w:val="24"/>
          <w:lang w:val="en-AU"/>
        </w:rPr>
        <w:t xml:space="preserve">ould be lodged/registered with SAT, and the Act </w:t>
      </w:r>
      <w:r w:rsidR="0B1BC9E9" w:rsidRPr="775B0364">
        <w:rPr>
          <w:rFonts w:eastAsia="Arial" w:cs="Arial"/>
          <w:color w:val="000000" w:themeColor="text1"/>
          <w:sz w:val="24"/>
          <w:szCs w:val="24"/>
          <w:lang w:val="en-AU"/>
        </w:rPr>
        <w:t>sh</w:t>
      </w:r>
      <w:r w:rsidRPr="775B0364">
        <w:rPr>
          <w:rFonts w:eastAsia="Arial" w:cs="Arial"/>
          <w:color w:val="000000" w:themeColor="text1"/>
          <w:sz w:val="24"/>
          <w:szCs w:val="24"/>
          <w:lang w:val="en-AU"/>
        </w:rPr>
        <w:t xml:space="preserve">ould provide SAT with the power to enforce agreements if they have been breached </w:t>
      </w:r>
      <w:r w:rsidR="00807847" w:rsidRPr="775B0364">
        <w:rPr>
          <w:rFonts w:eastAsia="Arial" w:cs="Arial"/>
          <w:color w:val="000000" w:themeColor="text1"/>
          <w:sz w:val="24"/>
          <w:szCs w:val="24"/>
          <w:lang w:val="en-AU"/>
        </w:rPr>
        <w:t>e.g.,</w:t>
      </w:r>
      <w:r w:rsidRPr="775B0364">
        <w:rPr>
          <w:rFonts w:eastAsia="Arial" w:cs="Arial"/>
          <w:color w:val="000000" w:themeColor="text1"/>
          <w:sz w:val="24"/>
          <w:szCs w:val="24"/>
          <w:lang w:val="en-AU"/>
        </w:rPr>
        <w:t xml:space="preserve"> a party fails to act in accordance with an agreement. </w:t>
      </w:r>
    </w:p>
    <w:p w14:paraId="5D2F02F8" w14:textId="2FC8B31A" w:rsidR="775B0364" w:rsidRDefault="775B0364" w:rsidP="775B0364">
      <w:pPr>
        <w:spacing w:after="160"/>
        <w:rPr>
          <w:rFonts w:eastAsia="Arial" w:cs="Arial"/>
          <w:b/>
          <w:bCs/>
          <w:color w:val="000000" w:themeColor="text1"/>
          <w:sz w:val="24"/>
          <w:szCs w:val="24"/>
          <w:lang w:val="en-AU"/>
        </w:rPr>
      </w:pPr>
    </w:p>
    <w:p w14:paraId="05C0E062" w14:textId="00CABBC3" w:rsidR="6E1DFD7D" w:rsidRDefault="6E1DFD7D" w:rsidP="775B0364">
      <w:pPr>
        <w:spacing w:after="160"/>
        <w:rPr>
          <w:rFonts w:eastAsia="Arial" w:cs="Arial"/>
          <w:b/>
          <w:bCs/>
          <w:color w:val="000000" w:themeColor="text1"/>
          <w:sz w:val="24"/>
          <w:szCs w:val="24"/>
          <w:lang w:val="en-AU"/>
        </w:rPr>
      </w:pPr>
      <w:r w:rsidRPr="775B0364">
        <w:rPr>
          <w:rFonts w:eastAsia="Arial" w:cs="Arial"/>
          <w:b/>
          <w:bCs/>
          <w:color w:val="000000" w:themeColor="text1"/>
          <w:sz w:val="24"/>
          <w:szCs w:val="24"/>
          <w:lang w:val="en-AU"/>
        </w:rPr>
        <w:t>Investigations and Support with Complaints</w:t>
      </w:r>
    </w:p>
    <w:p w14:paraId="47607B47" w14:textId="5E1AF67C" w:rsidR="6E1DFD7D" w:rsidRDefault="6E1DFD7D" w:rsidP="775B0364">
      <w:pPr>
        <w:spacing w:after="160"/>
        <w:rPr>
          <w:color w:val="000000" w:themeColor="text1"/>
          <w:sz w:val="24"/>
          <w:szCs w:val="24"/>
          <w:lang w:val="en-AU"/>
        </w:rPr>
      </w:pPr>
      <w:r w:rsidRPr="775B0364">
        <w:rPr>
          <w:color w:val="000000" w:themeColor="text1"/>
          <w:sz w:val="24"/>
          <w:szCs w:val="24"/>
          <w:lang w:val="en-AU"/>
        </w:rPr>
        <w:t>PWdWA is supportive of the Act adopting the NSW approach to investigations and complaints handling. We note specifically the recognition of the right for legal guardians, agents, and representative bodies to lodge a complaint would be particularly beneficial to people with disability, who may require support, or in limited circumstances may not have the capacity to lodge a complaint themselves. This should extend to the ability for a disability advocacy organisation to lodge a complaint without naming a specific individual as often the person may not wish to be specifically identified but the breach is serious and needs to be addressed.</w:t>
      </w:r>
    </w:p>
    <w:p w14:paraId="47035F8B" w14:textId="12CD1EAF" w:rsidR="6E1DFD7D" w:rsidRDefault="6E1DFD7D" w:rsidP="775B0364">
      <w:pPr>
        <w:spacing w:after="160"/>
        <w:rPr>
          <w:color w:val="000000" w:themeColor="text1"/>
          <w:sz w:val="24"/>
          <w:szCs w:val="24"/>
          <w:lang w:val="en-AU"/>
        </w:rPr>
      </w:pPr>
      <w:r w:rsidRPr="775B0364">
        <w:rPr>
          <w:color w:val="000000" w:themeColor="text1"/>
          <w:sz w:val="24"/>
          <w:szCs w:val="24"/>
          <w:lang w:val="en-AU"/>
        </w:rPr>
        <w:t>We also support the expansion of the EOC role to allow greater power to investigate systemic issues of discrimination and instigate legal action. This would include the ability for the EOC to investigate without the need for an individual complaint to be made. Similarly, to the above, people with disabilities may lack the confidence and resources to make a complaint. We know that relying on individual complaints to enforce these types of legislation does not work to create systemic change. If the Act is to act more broadly in eliminating discrimination in WA, the EOC must be able to proactively pursue breaches.</w:t>
      </w:r>
    </w:p>
    <w:p w14:paraId="0BD47145" w14:textId="0B6C86BA" w:rsidR="6E1DFD7D" w:rsidRDefault="6E1DFD7D" w:rsidP="775B0364">
      <w:pPr>
        <w:spacing w:after="160"/>
        <w:rPr>
          <w:color w:val="000000" w:themeColor="text1"/>
          <w:sz w:val="24"/>
          <w:szCs w:val="24"/>
          <w:lang w:val="en-AU"/>
        </w:rPr>
      </w:pPr>
      <w:r w:rsidRPr="775B0364">
        <w:rPr>
          <w:color w:val="000000" w:themeColor="text1"/>
          <w:sz w:val="24"/>
          <w:szCs w:val="24"/>
          <w:lang w:val="en-AU"/>
        </w:rPr>
        <w:lastRenderedPageBreak/>
        <w:t>In making these change to the Act, PWdWA notes that adequate resources must be provided to support these changes. The EOC must be resourced to undertake this function. Similarly, there must be funded support in the community to assist persons to lodge complaints. We note that currently the EOC refer people with disabilities externally to seek legal advice about where their issue constitutes discrimination, and for support to lodge a complaint. There are currently two legal services in Western Australia funded to provide specific disability discrimination advice and they are consistently at capacity. We also note that disability discrimination is the largest proportion of complaints received by the EOC. Although not within the scope of the Commissions consultation</w:t>
      </w:r>
      <w:r w:rsidR="0008216A">
        <w:rPr>
          <w:color w:val="000000" w:themeColor="text1"/>
          <w:sz w:val="24"/>
          <w:szCs w:val="24"/>
          <w:lang w:val="en-AU"/>
        </w:rPr>
        <w:t>,</w:t>
      </w:r>
      <w:r w:rsidRPr="775B0364">
        <w:rPr>
          <w:color w:val="000000" w:themeColor="text1"/>
          <w:sz w:val="24"/>
          <w:szCs w:val="24"/>
          <w:lang w:val="en-AU"/>
        </w:rPr>
        <w:t xml:space="preserve"> we highly recommend the WA Government commit additional resources to these community legal programs to ensure there is adequate support for people with disabilities to make a complaint under the Act.</w:t>
      </w:r>
    </w:p>
    <w:p w14:paraId="4C1F776A" w14:textId="57E341C7" w:rsidR="775B0364" w:rsidRDefault="775B0364" w:rsidP="775B0364">
      <w:pPr>
        <w:pStyle w:val="paragraph"/>
        <w:spacing w:before="0" w:beforeAutospacing="0" w:after="24" w:afterAutospacing="0" w:line="360" w:lineRule="auto"/>
        <w:rPr>
          <w:rStyle w:val="eop"/>
          <w:rFonts w:ascii="Arial" w:eastAsia="Arial" w:hAnsi="Arial" w:cs="Arial"/>
          <w:b/>
          <w:bCs/>
        </w:rPr>
      </w:pPr>
    </w:p>
    <w:p w14:paraId="2432BC25" w14:textId="0BF207E0" w:rsidR="2E18B17E" w:rsidRDefault="2E18B17E" w:rsidP="1E096166">
      <w:pPr>
        <w:pStyle w:val="paragraph"/>
        <w:spacing w:before="0" w:beforeAutospacing="0" w:after="24" w:afterAutospacing="0" w:line="360" w:lineRule="auto"/>
        <w:rPr>
          <w:rStyle w:val="eop"/>
          <w:rFonts w:ascii="Arial" w:eastAsia="Arial" w:hAnsi="Arial" w:cs="Arial"/>
          <w:b/>
          <w:bCs/>
        </w:rPr>
      </w:pPr>
      <w:r w:rsidRPr="775B0364">
        <w:rPr>
          <w:rStyle w:val="eop"/>
          <w:rFonts w:ascii="Arial" w:eastAsia="Arial" w:hAnsi="Arial" w:cs="Arial"/>
          <w:b/>
          <w:bCs/>
        </w:rPr>
        <w:t>Compensation Cap</w:t>
      </w:r>
    </w:p>
    <w:p w14:paraId="64270024" w14:textId="29F4625B" w:rsidR="1E096166" w:rsidRDefault="5D53C276"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PWdWA supports the removal of a cap on compensation amounts</w:t>
      </w:r>
      <w:r w:rsidR="32BF2258" w:rsidRPr="775B0364">
        <w:rPr>
          <w:rStyle w:val="eop"/>
          <w:rFonts w:ascii="Arial" w:eastAsia="Arial" w:hAnsi="Arial" w:cs="Arial"/>
        </w:rPr>
        <w:t xml:space="preserve"> to ensure people with disabilities are compensat</w:t>
      </w:r>
      <w:r w:rsidR="00882B0B">
        <w:rPr>
          <w:rStyle w:val="eop"/>
          <w:rFonts w:ascii="Arial" w:eastAsia="Arial" w:hAnsi="Arial" w:cs="Arial"/>
        </w:rPr>
        <w:t xml:space="preserve">ed </w:t>
      </w:r>
      <w:r w:rsidR="32BF2258" w:rsidRPr="775B0364">
        <w:rPr>
          <w:rStyle w:val="eop"/>
          <w:rFonts w:ascii="Arial" w:eastAsia="Arial" w:hAnsi="Arial" w:cs="Arial"/>
        </w:rPr>
        <w:t xml:space="preserve">for the full amount of any loss suffered due to unlawful discrimination. We acknowledge this would need to be </w:t>
      </w:r>
      <w:r w:rsidR="2CDCBE16" w:rsidRPr="775B0364">
        <w:rPr>
          <w:rStyle w:val="eop"/>
          <w:rFonts w:ascii="Arial" w:eastAsia="Arial" w:hAnsi="Arial" w:cs="Arial"/>
        </w:rPr>
        <w:t>managed by introducing guidelines for appropriate payment amounts.</w:t>
      </w:r>
    </w:p>
    <w:p w14:paraId="644A41DC" w14:textId="4C050D03" w:rsidR="1E096166" w:rsidRDefault="1E096166" w:rsidP="775B0364">
      <w:pPr>
        <w:pStyle w:val="paragraph"/>
        <w:spacing w:before="0" w:beforeAutospacing="0" w:after="24" w:afterAutospacing="0" w:line="360" w:lineRule="auto"/>
        <w:rPr>
          <w:rStyle w:val="eop"/>
        </w:rPr>
      </w:pPr>
    </w:p>
    <w:p w14:paraId="44F9B29A" w14:textId="1F62FEA5" w:rsidR="1E096166" w:rsidRDefault="03D1514D" w:rsidP="775B0364">
      <w:pPr>
        <w:pStyle w:val="paragraph"/>
        <w:spacing w:before="0" w:beforeAutospacing="0" w:after="24" w:afterAutospacing="0" w:line="360" w:lineRule="auto"/>
        <w:rPr>
          <w:rStyle w:val="eop"/>
          <w:b/>
          <w:bCs/>
        </w:rPr>
      </w:pPr>
      <w:r w:rsidRPr="775B0364">
        <w:rPr>
          <w:rStyle w:val="eop"/>
          <w:rFonts w:ascii="Arial" w:eastAsia="Arial" w:hAnsi="Arial" w:cs="Arial"/>
          <w:b/>
          <w:bCs/>
        </w:rPr>
        <w:t>Management Plans</w:t>
      </w:r>
    </w:p>
    <w:p w14:paraId="1573680A" w14:textId="6AB8B1AC" w:rsidR="1E096166" w:rsidRDefault="0B87BF3A"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PWdWA supports amendment</w:t>
      </w:r>
      <w:r w:rsidR="453D3AF5" w:rsidRPr="775B0364">
        <w:rPr>
          <w:rStyle w:val="eop"/>
          <w:rFonts w:ascii="Arial" w:eastAsia="Arial" w:hAnsi="Arial" w:cs="Arial"/>
        </w:rPr>
        <w:t>s</w:t>
      </w:r>
      <w:r w:rsidRPr="775B0364">
        <w:rPr>
          <w:rStyle w:val="eop"/>
          <w:rFonts w:ascii="Arial" w:eastAsia="Arial" w:hAnsi="Arial" w:cs="Arial"/>
        </w:rPr>
        <w:t xml:space="preserve"> which </w:t>
      </w:r>
      <w:r w:rsidR="14278977" w:rsidRPr="775B0364">
        <w:rPr>
          <w:rStyle w:val="eop"/>
          <w:rFonts w:ascii="Arial" w:eastAsia="Arial" w:hAnsi="Arial" w:cs="Arial"/>
        </w:rPr>
        <w:t>allows the EOC to</w:t>
      </w:r>
      <w:r w:rsidRPr="775B0364">
        <w:rPr>
          <w:rStyle w:val="eop"/>
          <w:rFonts w:ascii="Arial" w:eastAsia="Arial" w:hAnsi="Arial" w:cs="Arial"/>
        </w:rPr>
        <w:t xml:space="preserve"> </w:t>
      </w:r>
      <w:r w:rsidR="0EB3EDDF" w:rsidRPr="775B0364">
        <w:rPr>
          <w:rStyle w:val="eop"/>
          <w:rFonts w:ascii="Arial" w:eastAsia="Arial" w:hAnsi="Arial" w:cs="Arial"/>
        </w:rPr>
        <w:t>monitor</w:t>
      </w:r>
      <w:r w:rsidRPr="775B0364">
        <w:rPr>
          <w:rStyle w:val="eop"/>
          <w:rFonts w:ascii="Arial" w:eastAsia="Arial" w:hAnsi="Arial" w:cs="Arial"/>
        </w:rPr>
        <w:t xml:space="preserve"> and </w:t>
      </w:r>
      <w:r w:rsidR="30D8A834" w:rsidRPr="775B0364">
        <w:rPr>
          <w:rStyle w:val="eop"/>
          <w:rFonts w:ascii="Arial" w:eastAsia="Arial" w:hAnsi="Arial" w:cs="Arial"/>
        </w:rPr>
        <w:t xml:space="preserve">support </w:t>
      </w:r>
      <w:r w:rsidRPr="775B0364">
        <w:rPr>
          <w:rStyle w:val="eop"/>
          <w:rFonts w:ascii="Arial" w:eastAsia="Arial" w:hAnsi="Arial" w:cs="Arial"/>
        </w:rPr>
        <w:t>enforce</w:t>
      </w:r>
      <w:r w:rsidR="7C5A44BE" w:rsidRPr="775B0364">
        <w:rPr>
          <w:rStyle w:val="eop"/>
          <w:rFonts w:ascii="Arial" w:eastAsia="Arial" w:hAnsi="Arial" w:cs="Arial"/>
        </w:rPr>
        <w:t>ment of</w:t>
      </w:r>
      <w:r w:rsidRPr="775B0364">
        <w:rPr>
          <w:rStyle w:val="eop"/>
          <w:rFonts w:ascii="Arial" w:eastAsia="Arial" w:hAnsi="Arial" w:cs="Arial"/>
        </w:rPr>
        <w:t xml:space="preserve"> </w:t>
      </w:r>
      <w:r w:rsidR="656DC698" w:rsidRPr="775B0364">
        <w:rPr>
          <w:rStyle w:val="eop"/>
          <w:rFonts w:ascii="Arial" w:eastAsia="Arial" w:hAnsi="Arial" w:cs="Arial"/>
        </w:rPr>
        <w:t>management</w:t>
      </w:r>
      <w:r w:rsidRPr="775B0364">
        <w:rPr>
          <w:rStyle w:val="eop"/>
          <w:rFonts w:ascii="Arial" w:eastAsia="Arial" w:hAnsi="Arial" w:cs="Arial"/>
        </w:rPr>
        <w:t xml:space="preserve"> plans. </w:t>
      </w:r>
      <w:r w:rsidR="718DF9BC" w:rsidRPr="775B0364">
        <w:rPr>
          <w:rStyle w:val="eop"/>
          <w:rFonts w:ascii="Arial" w:eastAsia="Arial" w:hAnsi="Arial" w:cs="Arial"/>
        </w:rPr>
        <w:t>Without effective monitoring, and penalties for breaches to ensure implementation</w:t>
      </w:r>
      <w:r w:rsidR="39787271" w:rsidRPr="775B0364">
        <w:rPr>
          <w:rStyle w:val="eop"/>
          <w:rFonts w:ascii="Arial" w:eastAsia="Arial" w:hAnsi="Arial" w:cs="Arial"/>
        </w:rPr>
        <w:t>,</w:t>
      </w:r>
      <w:r w:rsidR="718DF9BC" w:rsidRPr="775B0364">
        <w:rPr>
          <w:rStyle w:val="eop"/>
          <w:rFonts w:ascii="Arial" w:eastAsia="Arial" w:hAnsi="Arial" w:cs="Arial"/>
        </w:rPr>
        <w:t xml:space="preserve"> management </w:t>
      </w:r>
      <w:r w:rsidR="2FE5AD68" w:rsidRPr="775B0364">
        <w:rPr>
          <w:rStyle w:val="eop"/>
          <w:rFonts w:ascii="Arial" w:eastAsia="Arial" w:hAnsi="Arial" w:cs="Arial"/>
        </w:rPr>
        <w:t>p</w:t>
      </w:r>
      <w:r w:rsidR="718DF9BC" w:rsidRPr="775B0364">
        <w:rPr>
          <w:rStyle w:val="eop"/>
          <w:rFonts w:ascii="Arial" w:eastAsia="Arial" w:hAnsi="Arial" w:cs="Arial"/>
        </w:rPr>
        <w:t>lans are simply pieces of paper with no real influence on policy and practice.</w:t>
      </w:r>
      <w:r w:rsidR="0F0E569C" w:rsidRPr="775B0364">
        <w:rPr>
          <w:rStyle w:val="eop"/>
          <w:rFonts w:ascii="Arial" w:eastAsia="Arial" w:hAnsi="Arial" w:cs="Arial"/>
        </w:rPr>
        <w:t xml:space="preserve"> </w:t>
      </w:r>
    </w:p>
    <w:p w14:paraId="48A56C70" w14:textId="1B4CE133" w:rsidR="1E096166" w:rsidRDefault="1E096166" w:rsidP="775B0364">
      <w:pPr>
        <w:pStyle w:val="paragraph"/>
        <w:spacing w:before="0" w:beforeAutospacing="0" w:after="24" w:afterAutospacing="0" w:line="360" w:lineRule="auto"/>
        <w:rPr>
          <w:rStyle w:val="eop"/>
          <w:rFonts w:ascii="Arial" w:eastAsia="Arial" w:hAnsi="Arial" w:cs="Arial"/>
          <w:b/>
          <w:bCs/>
        </w:rPr>
      </w:pPr>
      <w:r>
        <w:br/>
      </w:r>
      <w:r w:rsidR="03D1514D" w:rsidRPr="775B0364">
        <w:rPr>
          <w:rStyle w:val="eop"/>
          <w:rFonts w:ascii="Arial" w:eastAsia="Arial" w:hAnsi="Arial" w:cs="Arial"/>
          <w:b/>
          <w:bCs/>
        </w:rPr>
        <w:t>Lodging Complaints and Timeframes</w:t>
      </w:r>
    </w:p>
    <w:p w14:paraId="0508A3B5" w14:textId="1544C513" w:rsidR="1E096166" w:rsidRDefault="1AB15F2E" w:rsidP="775B0364">
      <w:pPr>
        <w:pStyle w:val="paragraph"/>
        <w:spacing w:before="0" w:beforeAutospacing="0" w:after="24" w:afterAutospacing="0" w:line="360" w:lineRule="auto"/>
        <w:rPr>
          <w:rStyle w:val="eop"/>
          <w:rFonts w:ascii="Arial" w:eastAsia="Arial" w:hAnsi="Arial" w:cs="Arial"/>
        </w:rPr>
      </w:pPr>
      <w:r w:rsidRPr="775B0364">
        <w:rPr>
          <w:rStyle w:val="eop"/>
          <w:rFonts w:ascii="Arial" w:eastAsia="Arial" w:hAnsi="Arial" w:cs="Arial"/>
        </w:rPr>
        <w:t>PWdWA recommends extending the timeframe for lodging a complaint to 2 years, with the ability for the EOC to</w:t>
      </w:r>
      <w:r w:rsidR="561BDCA0" w:rsidRPr="775B0364">
        <w:rPr>
          <w:rStyle w:val="eop"/>
          <w:rFonts w:ascii="Arial" w:eastAsia="Arial" w:hAnsi="Arial" w:cs="Arial"/>
        </w:rPr>
        <w:t xml:space="preserve"> accept</w:t>
      </w:r>
      <w:r w:rsidRPr="775B0364">
        <w:rPr>
          <w:rStyle w:val="eop"/>
          <w:rFonts w:ascii="Arial" w:eastAsia="Arial" w:hAnsi="Arial" w:cs="Arial"/>
        </w:rPr>
        <w:t xml:space="preserve"> applications after 2 years</w:t>
      </w:r>
      <w:r w:rsidR="3B29BE6A" w:rsidRPr="775B0364">
        <w:rPr>
          <w:rStyle w:val="eop"/>
          <w:rFonts w:ascii="Arial" w:eastAsia="Arial" w:hAnsi="Arial" w:cs="Arial"/>
        </w:rPr>
        <w:t xml:space="preserve"> where there is good cause</w:t>
      </w:r>
      <w:r w:rsidRPr="775B0364">
        <w:rPr>
          <w:rStyle w:val="eop"/>
          <w:rFonts w:ascii="Arial" w:eastAsia="Arial" w:hAnsi="Arial" w:cs="Arial"/>
        </w:rPr>
        <w:t>.</w:t>
      </w:r>
      <w:r w:rsidR="32422094" w:rsidRPr="775B0364">
        <w:rPr>
          <w:rStyle w:val="eop"/>
          <w:rFonts w:ascii="Arial" w:eastAsia="Arial" w:hAnsi="Arial" w:cs="Arial"/>
        </w:rPr>
        <w:t xml:space="preserve"> We support many people who try to resolve issues directly with the respondent and these processes can be long and drawn out. </w:t>
      </w:r>
      <w:r w:rsidR="356E4F39" w:rsidRPr="775B0364">
        <w:rPr>
          <w:rStyle w:val="eop"/>
          <w:rFonts w:ascii="Arial" w:eastAsia="Arial" w:hAnsi="Arial" w:cs="Arial"/>
        </w:rPr>
        <w:t xml:space="preserve">We also note that people with disabilities </w:t>
      </w:r>
      <w:r w:rsidR="505DE7ED" w:rsidRPr="775B0364">
        <w:rPr>
          <w:rStyle w:val="eop"/>
          <w:rFonts w:ascii="Arial" w:eastAsia="Arial" w:hAnsi="Arial" w:cs="Arial"/>
        </w:rPr>
        <w:t>can be</w:t>
      </w:r>
      <w:r w:rsidR="356E4F39" w:rsidRPr="775B0364">
        <w:rPr>
          <w:rStyle w:val="eop"/>
          <w:rFonts w:ascii="Arial" w:eastAsia="Arial" w:hAnsi="Arial" w:cs="Arial"/>
        </w:rPr>
        <w:t xml:space="preserve"> reluctant to make complaints, in many cases due to historical experiences of violence, abuse and neglect</w:t>
      </w:r>
      <w:r w:rsidR="00201E6E">
        <w:rPr>
          <w:rStyle w:val="eop"/>
          <w:rFonts w:ascii="Arial" w:eastAsia="Arial" w:hAnsi="Arial" w:cs="Arial"/>
        </w:rPr>
        <w:t>,</w:t>
      </w:r>
      <w:r w:rsidR="356E4F39" w:rsidRPr="775B0364">
        <w:rPr>
          <w:rStyle w:val="eop"/>
          <w:rFonts w:ascii="Arial" w:eastAsia="Arial" w:hAnsi="Arial" w:cs="Arial"/>
        </w:rPr>
        <w:t xml:space="preserve"> and being </w:t>
      </w:r>
      <w:r w:rsidR="0EDE5D90" w:rsidRPr="775B0364">
        <w:rPr>
          <w:rStyle w:val="eop"/>
          <w:rFonts w:ascii="Arial" w:eastAsia="Arial" w:hAnsi="Arial" w:cs="Arial"/>
        </w:rPr>
        <w:t>disbelieved</w:t>
      </w:r>
      <w:r w:rsidR="356E4F39" w:rsidRPr="775B0364">
        <w:rPr>
          <w:rStyle w:val="eop"/>
          <w:rFonts w:ascii="Arial" w:eastAsia="Arial" w:hAnsi="Arial" w:cs="Arial"/>
        </w:rPr>
        <w:t xml:space="preserve">. We </w:t>
      </w:r>
      <w:r w:rsidR="356E4F39" w:rsidRPr="775B0364">
        <w:rPr>
          <w:rStyle w:val="eop"/>
          <w:rFonts w:ascii="Arial" w:eastAsia="Arial" w:hAnsi="Arial" w:cs="Arial"/>
        </w:rPr>
        <w:lastRenderedPageBreak/>
        <w:t>encourage the</w:t>
      </w:r>
      <w:r w:rsidR="1595C59F" w:rsidRPr="775B0364">
        <w:rPr>
          <w:rStyle w:val="eop"/>
          <w:rFonts w:ascii="Arial" w:eastAsia="Arial" w:hAnsi="Arial" w:cs="Arial"/>
        </w:rPr>
        <w:t xml:space="preserve"> EOC to continue to </w:t>
      </w:r>
      <w:r w:rsidR="64B87B69" w:rsidRPr="775B0364">
        <w:rPr>
          <w:rStyle w:val="eop"/>
          <w:rFonts w:ascii="Arial" w:eastAsia="Arial" w:hAnsi="Arial" w:cs="Arial"/>
        </w:rPr>
        <w:t>consider</w:t>
      </w:r>
      <w:r w:rsidR="1595C59F" w:rsidRPr="775B0364">
        <w:rPr>
          <w:rStyle w:val="eop"/>
          <w:rFonts w:ascii="Arial" w:eastAsia="Arial" w:hAnsi="Arial" w:cs="Arial"/>
        </w:rPr>
        <w:t xml:space="preserve"> a </w:t>
      </w:r>
      <w:r w:rsidR="7B14F369" w:rsidRPr="775B0364">
        <w:rPr>
          <w:rStyle w:val="eop"/>
          <w:rFonts w:ascii="Arial" w:eastAsia="Arial" w:hAnsi="Arial" w:cs="Arial"/>
        </w:rPr>
        <w:t>person's</w:t>
      </w:r>
      <w:r w:rsidR="1595C59F" w:rsidRPr="775B0364">
        <w:rPr>
          <w:rStyle w:val="eop"/>
          <w:rFonts w:ascii="Arial" w:eastAsia="Arial" w:hAnsi="Arial" w:cs="Arial"/>
        </w:rPr>
        <w:t xml:space="preserve"> disability, and the </w:t>
      </w:r>
      <w:r w:rsidR="44E37884" w:rsidRPr="775B0364">
        <w:rPr>
          <w:rStyle w:val="eop"/>
          <w:rFonts w:ascii="Arial" w:eastAsia="Arial" w:hAnsi="Arial" w:cs="Arial"/>
        </w:rPr>
        <w:t>impact</w:t>
      </w:r>
      <w:r w:rsidR="1595C59F" w:rsidRPr="775B0364">
        <w:rPr>
          <w:rStyle w:val="eop"/>
          <w:rFonts w:ascii="Arial" w:eastAsia="Arial" w:hAnsi="Arial" w:cs="Arial"/>
        </w:rPr>
        <w:t xml:space="preserve"> this has on their ability to raise a complaint</w:t>
      </w:r>
      <w:r w:rsidR="1FBC73F4" w:rsidRPr="775B0364">
        <w:rPr>
          <w:rStyle w:val="eop"/>
          <w:rFonts w:ascii="Arial" w:eastAsia="Arial" w:hAnsi="Arial" w:cs="Arial"/>
        </w:rPr>
        <w:t>,</w:t>
      </w:r>
      <w:r w:rsidR="1595C59F" w:rsidRPr="775B0364">
        <w:rPr>
          <w:rStyle w:val="eop"/>
          <w:rFonts w:ascii="Arial" w:eastAsia="Arial" w:hAnsi="Arial" w:cs="Arial"/>
        </w:rPr>
        <w:t xml:space="preserve"> when </w:t>
      </w:r>
      <w:r w:rsidR="07E775B1" w:rsidRPr="775B0364">
        <w:rPr>
          <w:rStyle w:val="eop"/>
          <w:rFonts w:ascii="Arial" w:eastAsia="Arial" w:hAnsi="Arial" w:cs="Arial"/>
        </w:rPr>
        <w:t>exercising</w:t>
      </w:r>
      <w:r w:rsidR="1595C59F" w:rsidRPr="775B0364">
        <w:rPr>
          <w:rStyle w:val="eop"/>
          <w:rFonts w:ascii="Arial" w:eastAsia="Arial" w:hAnsi="Arial" w:cs="Arial"/>
        </w:rPr>
        <w:t xml:space="preserve"> discretion to accept a complaint out of time.</w:t>
      </w:r>
    </w:p>
    <w:p w14:paraId="5706D659" w14:textId="442455AF" w:rsidR="00E06133" w:rsidRDefault="00E06133" w:rsidP="775B0364">
      <w:pPr>
        <w:pStyle w:val="paragraph"/>
        <w:spacing w:before="0" w:beforeAutospacing="0" w:after="24" w:afterAutospacing="0" w:line="360" w:lineRule="auto"/>
        <w:rPr>
          <w:rStyle w:val="eop"/>
        </w:rPr>
      </w:pPr>
      <w:r w:rsidRPr="775B0364">
        <w:rPr>
          <w:rStyle w:val="eop"/>
          <w:rFonts w:ascii="Arial" w:eastAsia="Arial" w:hAnsi="Arial" w:cs="Arial"/>
        </w:rPr>
        <w:t>We also recommend the that the Act allow for complaints to be lodged verbally, noting that people with disabilities may have limited ability to make a written complaint.</w:t>
      </w:r>
    </w:p>
    <w:bookmarkEnd w:id="0"/>
    <w:p w14:paraId="6C281D89" w14:textId="2FB240CE" w:rsidR="00A973D1" w:rsidRDefault="00A973D1" w:rsidP="775B0364">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p w14:paraId="646CED36" w14:textId="650D74D7" w:rsidR="00973FDD" w:rsidRPr="00973FDD" w:rsidRDefault="00973FDD" w:rsidP="775B0364">
      <w:pPr>
        <w:pStyle w:val="paragraph"/>
        <w:spacing w:before="0" w:beforeAutospacing="0" w:after="24" w:afterAutospacing="0" w:line="360" w:lineRule="auto"/>
        <w:textAlignment w:val="baseline"/>
        <w:rPr>
          <w:rStyle w:val="eop"/>
          <w:rFonts w:ascii="Arial" w:eastAsiaTheme="minorEastAsia" w:hAnsi="Arial" w:cs="Arial"/>
        </w:rPr>
      </w:pPr>
      <w:r w:rsidRPr="00973FDD">
        <w:rPr>
          <w:rStyle w:val="eop"/>
          <w:rFonts w:ascii="Arial" w:eastAsiaTheme="minorEastAsia" w:hAnsi="Arial" w:cs="Arial"/>
        </w:rPr>
        <w:t xml:space="preserve">Submission is supported and endorsed by: </w:t>
      </w:r>
    </w:p>
    <w:p w14:paraId="667410BB" w14:textId="28F3CC73" w:rsidR="00973FDD" w:rsidRPr="00A973D1" w:rsidRDefault="00973FDD" w:rsidP="775B0364">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Pr>
          <w:noProof/>
        </w:rPr>
        <w:drawing>
          <wp:inline distT="0" distB="0" distL="0" distR="0" wp14:anchorId="2BF7173E" wp14:editId="41437998">
            <wp:extent cx="1637634" cy="1633855"/>
            <wp:effectExtent l="0" t="0" r="127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57450" cy="1653626"/>
                    </a:xfrm>
                    <a:prstGeom prst="rect">
                      <a:avLst/>
                    </a:prstGeom>
                  </pic:spPr>
                </pic:pic>
              </a:graphicData>
            </a:graphic>
          </wp:inline>
        </w:drawing>
      </w:r>
    </w:p>
    <w:sectPr w:rsidR="00973FDD" w:rsidRPr="00A973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2CEB" w14:textId="77777777" w:rsidR="0070756C" w:rsidRDefault="0070756C" w:rsidP="000B3622">
      <w:pPr>
        <w:spacing w:before="0" w:after="0" w:line="240" w:lineRule="auto"/>
      </w:pPr>
      <w:r>
        <w:separator/>
      </w:r>
    </w:p>
  </w:endnote>
  <w:endnote w:type="continuationSeparator" w:id="0">
    <w:p w14:paraId="5F8D9F21" w14:textId="77777777" w:rsidR="0070756C" w:rsidRDefault="0070756C"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10C2" w14:textId="77777777" w:rsidR="0070756C" w:rsidRDefault="0070756C" w:rsidP="000B3622">
      <w:pPr>
        <w:spacing w:before="0" w:after="0" w:line="240" w:lineRule="auto"/>
      </w:pPr>
      <w:r>
        <w:separator/>
      </w:r>
    </w:p>
  </w:footnote>
  <w:footnote w:type="continuationSeparator" w:id="0">
    <w:p w14:paraId="3A0435CB" w14:textId="77777777" w:rsidR="0070756C" w:rsidRDefault="0070756C" w:rsidP="000B3622">
      <w:pPr>
        <w:spacing w:before="0" w:after="0" w:line="240" w:lineRule="auto"/>
      </w:pPr>
      <w:r>
        <w:continuationSeparator/>
      </w:r>
    </w:p>
  </w:footnote>
  <w:footnote w:id="1">
    <w:p w14:paraId="2FC31D2C" w14:textId="373AA732" w:rsidR="009905DA" w:rsidRPr="009905DA" w:rsidRDefault="009905DA" w:rsidP="009905DA">
      <w:pPr>
        <w:spacing w:before="0" w:after="0"/>
        <w:rPr>
          <w:color w:val="000000" w:themeColor="text1"/>
          <w:sz w:val="20"/>
          <w:szCs w:val="20"/>
          <w:lang w:val="en-AU"/>
        </w:rPr>
      </w:pPr>
      <w:r>
        <w:rPr>
          <w:rStyle w:val="FootnoteReference"/>
        </w:rPr>
        <w:footnoteRef/>
      </w:r>
      <w:r>
        <w:t xml:space="preserve"> </w:t>
      </w:r>
      <w:r w:rsidRPr="007F587B">
        <w:rPr>
          <w:color w:val="000000" w:themeColor="text1"/>
          <w:sz w:val="20"/>
          <w:szCs w:val="20"/>
          <w:lang w:val="en-AU"/>
        </w:rPr>
        <w:t xml:space="preserve">Australian Government. (2018). </w:t>
      </w:r>
      <w:r w:rsidRPr="006F1542">
        <w:rPr>
          <w:i/>
          <w:iCs/>
          <w:color w:val="000000" w:themeColor="text1"/>
          <w:sz w:val="20"/>
          <w:szCs w:val="20"/>
          <w:lang w:val="en-AU"/>
        </w:rPr>
        <w:t>Disability Discrimi</w:t>
      </w:r>
      <w:r>
        <w:rPr>
          <w:i/>
          <w:iCs/>
          <w:color w:val="000000" w:themeColor="text1"/>
          <w:sz w:val="20"/>
          <w:szCs w:val="20"/>
          <w:lang w:val="en-AU"/>
        </w:rPr>
        <w:t xml:space="preserve">nation </w:t>
      </w:r>
      <w:r w:rsidRPr="006F1542">
        <w:rPr>
          <w:i/>
          <w:iCs/>
          <w:color w:val="000000" w:themeColor="text1"/>
          <w:sz w:val="20"/>
          <w:szCs w:val="20"/>
          <w:lang w:val="en-AU"/>
        </w:rPr>
        <w:t>Act 1992</w:t>
      </w:r>
      <w:r w:rsidRPr="007F587B">
        <w:rPr>
          <w:color w:val="000000" w:themeColor="text1"/>
          <w:sz w:val="20"/>
          <w:szCs w:val="20"/>
          <w:lang w:val="en-AU"/>
        </w:rPr>
        <w:t xml:space="preserve">. </w:t>
      </w:r>
      <w:r>
        <w:rPr>
          <w:color w:val="000000" w:themeColor="text1"/>
          <w:sz w:val="20"/>
          <w:szCs w:val="20"/>
          <w:lang w:val="en-AU"/>
        </w:rPr>
        <w:t>Section 5.2</w:t>
      </w:r>
    </w:p>
  </w:footnote>
  <w:footnote w:id="2">
    <w:p w14:paraId="041DEE92" w14:textId="5A902F1C" w:rsidR="1E096166" w:rsidRDefault="00F6341D" w:rsidP="1E096166">
      <w:pPr>
        <w:pStyle w:val="FootnoteText"/>
      </w:pPr>
      <w:r>
        <w:rPr>
          <w:rStyle w:val="FootnoteReference"/>
        </w:rPr>
        <w:t>2</w:t>
      </w:r>
      <w:r w:rsidR="1E096166" w:rsidRPr="1E096166">
        <w:t xml:space="preserve"> Australian Human Rights Commission. (25 July 2019). </w:t>
      </w:r>
      <w:r w:rsidR="1E096166" w:rsidRPr="1E096166">
        <w:rPr>
          <w:i/>
          <w:iCs/>
        </w:rPr>
        <w:t xml:space="preserve">Submission on the Committee on the Rights of Persons with Disabilities. </w:t>
      </w:r>
      <w:r w:rsidR="1E096166" w:rsidRPr="1E096166">
        <w:t>Section 4.1</w:t>
      </w:r>
    </w:p>
  </w:footnote>
  <w:footnote w:id="3">
    <w:p w14:paraId="089BD9F0" w14:textId="250AD6F4" w:rsidR="009905DA" w:rsidRPr="009905DA" w:rsidRDefault="009905DA">
      <w:pPr>
        <w:pStyle w:val="FootnoteText"/>
        <w:rPr>
          <w:lang w:val="en-AU"/>
        </w:rPr>
      </w:pPr>
      <w:r>
        <w:rPr>
          <w:rStyle w:val="FootnoteReference"/>
        </w:rPr>
        <w:footnoteRef/>
      </w:r>
      <w:r>
        <w:t xml:space="preserve"> </w:t>
      </w:r>
      <w:r w:rsidR="00D308CB">
        <w:t>Department of Local Go</w:t>
      </w:r>
      <w:r w:rsidR="00DB6F80">
        <w:t xml:space="preserve">vernment, Sport and Cultural Industries. Applying for assistance dog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4FDB1185"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22A"/>
    <w:multiLevelType w:val="hybridMultilevel"/>
    <w:tmpl w:val="07743A6C"/>
    <w:lvl w:ilvl="0" w:tplc="8F868D9C">
      <w:start w:val="1"/>
      <w:numFmt w:val="bullet"/>
      <w:lvlText w:val=""/>
      <w:lvlJc w:val="left"/>
      <w:pPr>
        <w:ind w:left="720" w:hanging="360"/>
      </w:pPr>
      <w:rPr>
        <w:rFonts w:ascii="Symbol" w:hAnsi="Symbol" w:hint="default"/>
      </w:rPr>
    </w:lvl>
    <w:lvl w:ilvl="1" w:tplc="0A1E96B0">
      <w:start w:val="1"/>
      <w:numFmt w:val="bullet"/>
      <w:lvlText w:val="o"/>
      <w:lvlJc w:val="left"/>
      <w:pPr>
        <w:ind w:left="1440" w:hanging="360"/>
      </w:pPr>
      <w:rPr>
        <w:rFonts w:ascii="Courier New" w:hAnsi="Courier New" w:hint="default"/>
      </w:rPr>
    </w:lvl>
    <w:lvl w:ilvl="2" w:tplc="531CAC70">
      <w:start w:val="1"/>
      <w:numFmt w:val="bullet"/>
      <w:lvlText w:val=""/>
      <w:lvlJc w:val="left"/>
      <w:pPr>
        <w:ind w:left="2160" w:hanging="360"/>
      </w:pPr>
      <w:rPr>
        <w:rFonts w:ascii="Wingdings" w:hAnsi="Wingdings" w:hint="default"/>
      </w:rPr>
    </w:lvl>
    <w:lvl w:ilvl="3" w:tplc="D0D2C778">
      <w:start w:val="1"/>
      <w:numFmt w:val="bullet"/>
      <w:lvlText w:val=""/>
      <w:lvlJc w:val="left"/>
      <w:pPr>
        <w:ind w:left="2880" w:hanging="360"/>
      </w:pPr>
      <w:rPr>
        <w:rFonts w:ascii="Symbol" w:hAnsi="Symbol" w:hint="default"/>
      </w:rPr>
    </w:lvl>
    <w:lvl w:ilvl="4" w:tplc="027801EC">
      <w:start w:val="1"/>
      <w:numFmt w:val="bullet"/>
      <w:lvlText w:val="o"/>
      <w:lvlJc w:val="left"/>
      <w:pPr>
        <w:ind w:left="3600" w:hanging="360"/>
      </w:pPr>
      <w:rPr>
        <w:rFonts w:ascii="Courier New" w:hAnsi="Courier New" w:hint="default"/>
      </w:rPr>
    </w:lvl>
    <w:lvl w:ilvl="5" w:tplc="18BA1B10">
      <w:start w:val="1"/>
      <w:numFmt w:val="bullet"/>
      <w:lvlText w:val=""/>
      <w:lvlJc w:val="left"/>
      <w:pPr>
        <w:ind w:left="4320" w:hanging="360"/>
      </w:pPr>
      <w:rPr>
        <w:rFonts w:ascii="Wingdings" w:hAnsi="Wingdings" w:hint="default"/>
      </w:rPr>
    </w:lvl>
    <w:lvl w:ilvl="6" w:tplc="8682AC6E">
      <w:start w:val="1"/>
      <w:numFmt w:val="bullet"/>
      <w:lvlText w:val=""/>
      <w:lvlJc w:val="left"/>
      <w:pPr>
        <w:ind w:left="5040" w:hanging="360"/>
      </w:pPr>
      <w:rPr>
        <w:rFonts w:ascii="Symbol" w:hAnsi="Symbol" w:hint="default"/>
      </w:rPr>
    </w:lvl>
    <w:lvl w:ilvl="7" w:tplc="A7A276FC">
      <w:start w:val="1"/>
      <w:numFmt w:val="bullet"/>
      <w:lvlText w:val="o"/>
      <w:lvlJc w:val="left"/>
      <w:pPr>
        <w:ind w:left="5760" w:hanging="360"/>
      </w:pPr>
      <w:rPr>
        <w:rFonts w:ascii="Courier New" w:hAnsi="Courier New" w:hint="default"/>
      </w:rPr>
    </w:lvl>
    <w:lvl w:ilvl="8" w:tplc="374CE4AE">
      <w:start w:val="1"/>
      <w:numFmt w:val="bullet"/>
      <w:lvlText w:val=""/>
      <w:lvlJc w:val="left"/>
      <w:pPr>
        <w:ind w:left="6480" w:hanging="360"/>
      </w:pPr>
      <w:rPr>
        <w:rFonts w:ascii="Wingdings" w:hAnsi="Wingdings" w:hint="default"/>
      </w:rPr>
    </w:lvl>
  </w:abstractNum>
  <w:abstractNum w:abstractNumId="1"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D16D1"/>
    <w:multiLevelType w:val="hybridMultilevel"/>
    <w:tmpl w:val="F9ACE026"/>
    <w:lvl w:ilvl="0" w:tplc="C4929002">
      <w:start w:val="1"/>
      <w:numFmt w:val="bullet"/>
      <w:lvlText w:val=""/>
      <w:lvlJc w:val="left"/>
      <w:pPr>
        <w:ind w:left="720" w:hanging="360"/>
      </w:pPr>
      <w:rPr>
        <w:rFonts w:ascii="Symbol" w:hAnsi="Symbol" w:hint="default"/>
      </w:rPr>
    </w:lvl>
    <w:lvl w:ilvl="1" w:tplc="148C9A38">
      <w:start w:val="1"/>
      <w:numFmt w:val="bullet"/>
      <w:lvlText w:val="o"/>
      <w:lvlJc w:val="left"/>
      <w:pPr>
        <w:ind w:left="1440" w:hanging="360"/>
      </w:pPr>
      <w:rPr>
        <w:rFonts w:ascii="Courier New" w:hAnsi="Courier New" w:hint="default"/>
      </w:rPr>
    </w:lvl>
    <w:lvl w:ilvl="2" w:tplc="F23EF4CC">
      <w:start w:val="1"/>
      <w:numFmt w:val="bullet"/>
      <w:lvlText w:val=""/>
      <w:lvlJc w:val="left"/>
      <w:pPr>
        <w:ind w:left="2160" w:hanging="360"/>
      </w:pPr>
      <w:rPr>
        <w:rFonts w:ascii="Wingdings" w:hAnsi="Wingdings" w:hint="default"/>
      </w:rPr>
    </w:lvl>
    <w:lvl w:ilvl="3" w:tplc="C53E6A64">
      <w:start w:val="1"/>
      <w:numFmt w:val="bullet"/>
      <w:lvlText w:val=""/>
      <w:lvlJc w:val="left"/>
      <w:pPr>
        <w:ind w:left="2880" w:hanging="360"/>
      </w:pPr>
      <w:rPr>
        <w:rFonts w:ascii="Symbol" w:hAnsi="Symbol" w:hint="default"/>
      </w:rPr>
    </w:lvl>
    <w:lvl w:ilvl="4" w:tplc="0E7860E6">
      <w:start w:val="1"/>
      <w:numFmt w:val="bullet"/>
      <w:lvlText w:val="o"/>
      <w:lvlJc w:val="left"/>
      <w:pPr>
        <w:ind w:left="3600" w:hanging="360"/>
      </w:pPr>
      <w:rPr>
        <w:rFonts w:ascii="Courier New" w:hAnsi="Courier New" w:hint="default"/>
      </w:rPr>
    </w:lvl>
    <w:lvl w:ilvl="5" w:tplc="E01C10EE">
      <w:start w:val="1"/>
      <w:numFmt w:val="bullet"/>
      <w:lvlText w:val=""/>
      <w:lvlJc w:val="left"/>
      <w:pPr>
        <w:ind w:left="4320" w:hanging="360"/>
      </w:pPr>
      <w:rPr>
        <w:rFonts w:ascii="Wingdings" w:hAnsi="Wingdings" w:hint="default"/>
      </w:rPr>
    </w:lvl>
    <w:lvl w:ilvl="6" w:tplc="E62A8E00">
      <w:start w:val="1"/>
      <w:numFmt w:val="bullet"/>
      <w:lvlText w:val=""/>
      <w:lvlJc w:val="left"/>
      <w:pPr>
        <w:ind w:left="5040" w:hanging="360"/>
      </w:pPr>
      <w:rPr>
        <w:rFonts w:ascii="Symbol" w:hAnsi="Symbol" w:hint="default"/>
      </w:rPr>
    </w:lvl>
    <w:lvl w:ilvl="7" w:tplc="28F0C9B0">
      <w:start w:val="1"/>
      <w:numFmt w:val="bullet"/>
      <w:lvlText w:val="o"/>
      <w:lvlJc w:val="left"/>
      <w:pPr>
        <w:ind w:left="5760" w:hanging="360"/>
      </w:pPr>
      <w:rPr>
        <w:rFonts w:ascii="Courier New" w:hAnsi="Courier New" w:hint="default"/>
      </w:rPr>
    </w:lvl>
    <w:lvl w:ilvl="8" w:tplc="F360609E">
      <w:start w:val="1"/>
      <w:numFmt w:val="bullet"/>
      <w:lvlText w:val=""/>
      <w:lvlJc w:val="left"/>
      <w:pPr>
        <w:ind w:left="6480" w:hanging="360"/>
      </w:pPr>
      <w:rPr>
        <w:rFonts w:ascii="Wingdings" w:hAnsi="Wingdings" w:hint="default"/>
      </w:rPr>
    </w:lvl>
  </w:abstractNum>
  <w:abstractNum w:abstractNumId="4" w15:restartNumberingAfterBreak="0">
    <w:nsid w:val="54C83166"/>
    <w:multiLevelType w:val="hybridMultilevel"/>
    <w:tmpl w:val="89B09C84"/>
    <w:lvl w:ilvl="0" w:tplc="0E983C50">
      <w:start w:val="1"/>
      <w:numFmt w:val="decimal"/>
      <w:lvlText w:val="%1."/>
      <w:lvlJc w:val="left"/>
      <w:pPr>
        <w:ind w:left="720" w:hanging="360"/>
      </w:pPr>
    </w:lvl>
    <w:lvl w:ilvl="1" w:tplc="5DACFA78">
      <w:start w:val="1"/>
      <w:numFmt w:val="lowerLetter"/>
      <w:lvlText w:val="%2."/>
      <w:lvlJc w:val="left"/>
      <w:pPr>
        <w:ind w:left="1440" w:hanging="360"/>
      </w:pPr>
    </w:lvl>
    <w:lvl w:ilvl="2" w:tplc="5E704FB0">
      <w:start w:val="1"/>
      <w:numFmt w:val="lowerRoman"/>
      <w:lvlText w:val="%3."/>
      <w:lvlJc w:val="right"/>
      <w:pPr>
        <w:ind w:left="2160" w:hanging="180"/>
      </w:pPr>
    </w:lvl>
    <w:lvl w:ilvl="3" w:tplc="9C700E3E">
      <w:start w:val="1"/>
      <w:numFmt w:val="decimal"/>
      <w:lvlText w:val="%4."/>
      <w:lvlJc w:val="left"/>
      <w:pPr>
        <w:ind w:left="2880" w:hanging="360"/>
      </w:pPr>
    </w:lvl>
    <w:lvl w:ilvl="4" w:tplc="E360939C">
      <w:start w:val="1"/>
      <w:numFmt w:val="lowerLetter"/>
      <w:lvlText w:val="%5."/>
      <w:lvlJc w:val="left"/>
      <w:pPr>
        <w:ind w:left="3600" w:hanging="360"/>
      </w:pPr>
    </w:lvl>
    <w:lvl w:ilvl="5" w:tplc="3EE2B54E">
      <w:start w:val="1"/>
      <w:numFmt w:val="lowerRoman"/>
      <w:lvlText w:val="%6."/>
      <w:lvlJc w:val="right"/>
      <w:pPr>
        <w:ind w:left="4320" w:hanging="180"/>
      </w:pPr>
    </w:lvl>
    <w:lvl w:ilvl="6" w:tplc="1EF8985E">
      <w:start w:val="1"/>
      <w:numFmt w:val="decimal"/>
      <w:lvlText w:val="%7."/>
      <w:lvlJc w:val="left"/>
      <w:pPr>
        <w:ind w:left="5040" w:hanging="360"/>
      </w:pPr>
    </w:lvl>
    <w:lvl w:ilvl="7" w:tplc="C08A1FF6">
      <w:start w:val="1"/>
      <w:numFmt w:val="lowerLetter"/>
      <w:lvlText w:val="%8."/>
      <w:lvlJc w:val="left"/>
      <w:pPr>
        <w:ind w:left="5760" w:hanging="360"/>
      </w:pPr>
    </w:lvl>
    <w:lvl w:ilvl="8" w:tplc="95A8BC06">
      <w:start w:val="1"/>
      <w:numFmt w:val="lowerRoman"/>
      <w:lvlText w:val="%9."/>
      <w:lvlJc w:val="right"/>
      <w:pPr>
        <w:ind w:left="6480" w:hanging="180"/>
      </w:pPr>
    </w:lvl>
  </w:abstractNum>
  <w:abstractNum w:abstractNumId="5"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4B6962"/>
    <w:multiLevelType w:val="hybridMultilevel"/>
    <w:tmpl w:val="2034C3D4"/>
    <w:lvl w:ilvl="0" w:tplc="1DC43714">
      <w:start w:val="1"/>
      <w:numFmt w:val="bullet"/>
      <w:lvlText w:val=""/>
      <w:lvlJc w:val="left"/>
      <w:pPr>
        <w:ind w:left="720" w:hanging="360"/>
      </w:pPr>
      <w:rPr>
        <w:rFonts w:ascii="Symbol" w:hAnsi="Symbol" w:hint="default"/>
      </w:rPr>
    </w:lvl>
    <w:lvl w:ilvl="1" w:tplc="7C88FB36">
      <w:start w:val="1"/>
      <w:numFmt w:val="bullet"/>
      <w:lvlText w:val="o"/>
      <w:lvlJc w:val="left"/>
      <w:pPr>
        <w:ind w:left="1440" w:hanging="360"/>
      </w:pPr>
      <w:rPr>
        <w:rFonts w:ascii="Courier New" w:hAnsi="Courier New" w:hint="default"/>
      </w:rPr>
    </w:lvl>
    <w:lvl w:ilvl="2" w:tplc="E9003D30">
      <w:start w:val="1"/>
      <w:numFmt w:val="bullet"/>
      <w:lvlText w:val=""/>
      <w:lvlJc w:val="left"/>
      <w:pPr>
        <w:ind w:left="2160" w:hanging="360"/>
      </w:pPr>
      <w:rPr>
        <w:rFonts w:ascii="Wingdings" w:hAnsi="Wingdings" w:hint="default"/>
      </w:rPr>
    </w:lvl>
    <w:lvl w:ilvl="3" w:tplc="AC46721E">
      <w:start w:val="1"/>
      <w:numFmt w:val="bullet"/>
      <w:lvlText w:val=""/>
      <w:lvlJc w:val="left"/>
      <w:pPr>
        <w:ind w:left="2880" w:hanging="360"/>
      </w:pPr>
      <w:rPr>
        <w:rFonts w:ascii="Symbol" w:hAnsi="Symbol" w:hint="default"/>
      </w:rPr>
    </w:lvl>
    <w:lvl w:ilvl="4" w:tplc="71F8B718">
      <w:start w:val="1"/>
      <w:numFmt w:val="bullet"/>
      <w:lvlText w:val="o"/>
      <w:lvlJc w:val="left"/>
      <w:pPr>
        <w:ind w:left="3600" w:hanging="360"/>
      </w:pPr>
      <w:rPr>
        <w:rFonts w:ascii="Courier New" w:hAnsi="Courier New" w:hint="default"/>
      </w:rPr>
    </w:lvl>
    <w:lvl w:ilvl="5" w:tplc="8D56C7A8">
      <w:start w:val="1"/>
      <w:numFmt w:val="bullet"/>
      <w:lvlText w:val=""/>
      <w:lvlJc w:val="left"/>
      <w:pPr>
        <w:ind w:left="4320" w:hanging="360"/>
      </w:pPr>
      <w:rPr>
        <w:rFonts w:ascii="Wingdings" w:hAnsi="Wingdings" w:hint="default"/>
      </w:rPr>
    </w:lvl>
    <w:lvl w:ilvl="6" w:tplc="2E6C4602">
      <w:start w:val="1"/>
      <w:numFmt w:val="bullet"/>
      <w:lvlText w:val=""/>
      <w:lvlJc w:val="left"/>
      <w:pPr>
        <w:ind w:left="5040" w:hanging="360"/>
      </w:pPr>
      <w:rPr>
        <w:rFonts w:ascii="Symbol" w:hAnsi="Symbol" w:hint="default"/>
      </w:rPr>
    </w:lvl>
    <w:lvl w:ilvl="7" w:tplc="1D9E86E0">
      <w:start w:val="1"/>
      <w:numFmt w:val="bullet"/>
      <w:lvlText w:val="o"/>
      <w:lvlJc w:val="left"/>
      <w:pPr>
        <w:ind w:left="5760" w:hanging="360"/>
      </w:pPr>
      <w:rPr>
        <w:rFonts w:ascii="Courier New" w:hAnsi="Courier New" w:hint="default"/>
      </w:rPr>
    </w:lvl>
    <w:lvl w:ilvl="8" w:tplc="CCCC5C2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2"/>
  </w:num>
  <w:num w:numId="5">
    <w:abstractNumId w:val="7"/>
  </w:num>
  <w:num w:numId="6">
    <w:abstractNumId w:val="9"/>
  </w:num>
  <w:num w:numId="7">
    <w:abstractNumId w:val="5"/>
  </w:num>
  <w:num w:numId="8">
    <w:abstractNumId w:val="10"/>
  </w:num>
  <w:num w:numId="9">
    <w:abstractNumId w:val="1"/>
  </w:num>
  <w:num w:numId="10">
    <w:abstractNumId w:val="1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AED4D86-22D0-46F7-B3A6-BA1749D99144}"/>
    <w:docVar w:name="dgnword-eventsink" w:val="195208280"/>
  </w:docVars>
  <w:rsids>
    <w:rsidRoot w:val="00A366C4"/>
    <w:rsid w:val="000042B4"/>
    <w:rsid w:val="00036FF5"/>
    <w:rsid w:val="0005277C"/>
    <w:rsid w:val="000561FD"/>
    <w:rsid w:val="0006650E"/>
    <w:rsid w:val="00066B09"/>
    <w:rsid w:val="00067F03"/>
    <w:rsid w:val="00080FE5"/>
    <w:rsid w:val="0008131C"/>
    <w:rsid w:val="00081E72"/>
    <w:rsid w:val="0008216A"/>
    <w:rsid w:val="00084BC6"/>
    <w:rsid w:val="000918A1"/>
    <w:rsid w:val="000937F5"/>
    <w:rsid w:val="000A71CF"/>
    <w:rsid w:val="000A7A50"/>
    <w:rsid w:val="000B3622"/>
    <w:rsid w:val="000C093A"/>
    <w:rsid w:val="000C5BEF"/>
    <w:rsid w:val="000C74E2"/>
    <w:rsid w:val="000D10FF"/>
    <w:rsid w:val="000D68C4"/>
    <w:rsid w:val="000E213E"/>
    <w:rsid w:val="000F51F1"/>
    <w:rsid w:val="000F6AEB"/>
    <w:rsid w:val="000F7ACF"/>
    <w:rsid w:val="00101A0F"/>
    <w:rsid w:val="00104EC8"/>
    <w:rsid w:val="001161FA"/>
    <w:rsid w:val="0011670B"/>
    <w:rsid w:val="001305F6"/>
    <w:rsid w:val="001306E5"/>
    <w:rsid w:val="00133B7A"/>
    <w:rsid w:val="0013690B"/>
    <w:rsid w:val="00142FC6"/>
    <w:rsid w:val="00146F30"/>
    <w:rsid w:val="001501E6"/>
    <w:rsid w:val="001507CE"/>
    <w:rsid w:val="00150E97"/>
    <w:rsid w:val="00160E1C"/>
    <w:rsid w:val="00163A15"/>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5564"/>
    <w:rsid w:val="001D7314"/>
    <w:rsid w:val="001E156E"/>
    <w:rsid w:val="001E1D02"/>
    <w:rsid w:val="001E241D"/>
    <w:rsid w:val="001E28C5"/>
    <w:rsid w:val="001F3785"/>
    <w:rsid w:val="001F6BB9"/>
    <w:rsid w:val="001F74FF"/>
    <w:rsid w:val="001F7B5E"/>
    <w:rsid w:val="00201E6E"/>
    <w:rsid w:val="0020706E"/>
    <w:rsid w:val="00212369"/>
    <w:rsid w:val="00220C9C"/>
    <w:rsid w:val="002215FE"/>
    <w:rsid w:val="002216E4"/>
    <w:rsid w:val="0022430A"/>
    <w:rsid w:val="002325D3"/>
    <w:rsid w:val="00233CFA"/>
    <w:rsid w:val="00236E4A"/>
    <w:rsid w:val="00240E23"/>
    <w:rsid w:val="0024377A"/>
    <w:rsid w:val="00250A55"/>
    <w:rsid w:val="00252F24"/>
    <w:rsid w:val="00256E5A"/>
    <w:rsid w:val="00262C50"/>
    <w:rsid w:val="002654FB"/>
    <w:rsid w:val="00273D17"/>
    <w:rsid w:val="00281728"/>
    <w:rsid w:val="00282AC0"/>
    <w:rsid w:val="00283D36"/>
    <w:rsid w:val="00285DF3"/>
    <w:rsid w:val="00295BF0"/>
    <w:rsid w:val="002A22B0"/>
    <w:rsid w:val="002A76FC"/>
    <w:rsid w:val="002B07C9"/>
    <w:rsid w:val="002B6AA8"/>
    <w:rsid w:val="002C629D"/>
    <w:rsid w:val="002C6A61"/>
    <w:rsid w:val="002D13E3"/>
    <w:rsid w:val="002E03D9"/>
    <w:rsid w:val="002E2C62"/>
    <w:rsid w:val="002F0BBB"/>
    <w:rsid w:val="002F1BCE"/>
    <w:rsid w:val="00302CB6"/>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46FD"/>
    <w:rsid w:val="003A1193"/>
    <w:rsid w:val="003A1FC6"/>
    <w:rsid w:val="003A67CA"/>
    <w:rsid w:val="003B64DA"/>
    <w:rsid w:val="003C2B14"/>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23435"/>
    <w:rsid w:val="0042650F"/>
    <w:rsid w:val="004315F3"/>
    <w:rsid w:val="00433A79"/>
    <w:rsid w:val="00443DC6"/>
    <w:rsid w:val="00445B6A"/>
    <w:rsid w:val="00451698"/>
    <w:rsid w:val="00452930"/>
    <w:rsid w:val="00452DC0"/>
    <w:rsid w:val="004535F6"/>
    <w:rsid w:val="0045381B"/>
    <w:rsid w:val="004555E6"/>
    <w:rsid w:val="00456CB3"/>
    <w:rsid w:val="00457121"/>
    <w:rsid w:val="00471CD9"/>
    <w:rsid w:val="00474E06"/>
    <w:rsid w:val="00474F7E"/>
    <w:rsid w:val="00485468"/>
    <w:rsid w:val="0049399F"/>
    <w:rsid w:val="004954F1"/>
    <w:rsid w:val="004A5B0A"/>
    <w:rsid w:val="004A685C"/>
    <w:rsid w:val="004B3C4C"/>
    <w:rsid w:val="004B5ED7"/>
    <w:rsid w:val="004C049C"/>
    <w:rsid w:val="004C575B"/>
    <w:rsid w:val="004D1152"/>
    <w:rsid w:val="004D6A60"/>
    <w:rsid w:val="004E70EE"/>
    <w:rsid w:val="004F06C7"/>
    <w:rsid w:val="004F380D"/>
    <w:rsid w:val="005014D3"/>
    <w:rsid w:val="00502B24"/>
    <w:rsid w:val="00505611"/>
    <w:rsid w:val="00514FF6"/>
    <w:rsid w:val="005179AE"/>
    <w:rsid w:val="0052325D"/>
    <w:rsid w:val="00527765"/>
    <w:rsid w:val="0053277A"/>
    <w:rsid w:val="00535037"/>
    <w:rsid w:val="00537A86"/>
    <w:rsid w:val="00546A5B"/>
    <w:rsid w:val="00552A72"/>
    <w:rsid w:val="00552FDA"/>
    <w:rsid w:val="00556944"/>
    <w:rsid w:val="00561748"/>
    <w:rsid w:val="00561B15"/>
    <w:rsid w:val="00562EA7"/>
    <w:rsid w:val="00563540"/>
    <w:rsid w:val="00571FC6"/>
    <w:rsid w:val="00574D16"/>
    <w:rsid w:val="00576E4C"/>
    <w:rsid w:val="00577716"/>
    <w:rsid w:val="0057784C"/>
    <w:rsid w:val="00584C90"/>
    <w:rsid w:val="00586F25"/>
    <w:rsid w:val="00590462"/>
    <w:rsid w:val="00590B4A"/>
    <w:rsid w:val="005A2CB6"/>
    <w:rsid w:val="005A318C"/>
    <w:rsid w:val="005C2136"/>
    <w:rsid w:val="005C34F9"/>
    <w:rsid w:val="005C55BD"/>
    <w:rsid w:val="005C5F22"/>
    <w:rsid w:val="005C7667"/>
    <w:rsid w:val="005D32F6"/>
    <w:rsid w:val="005E6A12"/>
    <w:rsid w:val="005F3FC2"/>
    <w:rsid w:val="005F4B13"/>
    <w:rsid w:val="005F4C8C"/>
    <w:rsid w:val="005F4DAC"/>
    <w:rsid w:val="005F780C"/>
    <w:rsid w:val="00600C4E"/>
    <w:rsid w:val="0060448E"/>
    <w:rsid w:val="00604E1C"/>
    <w:rsid w:val="00604EB2"/>
    <w:rsid w:val="006153E9"/>
    <w:rsid w:val="00626110"/>
    <w:rsid w:val="00626E6E"/>
    <w:rsid w:val="00634ED6"/>
    <w:rsid w:val="006374F9"/>
    <w:rsid w:val="00645EB8"/>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6E4E"/>
    <w:rsid w:val="006F1542"/>
    <w:rsid w:val="0070142C"/>
    <w:rsid w:val="00704252"/>
    <w:rsid w:val="007051D2"/>
    <w:rsid w:val="0070756C"/>
    <w:rsid w:val="00711D2D"/>
    <w:rsid w:val="007142E0"/>
    <w:rsid w:val="00716078"/>
    <w:rsid w:val="007212AC"/>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7F587B"/>
    <w:rsid w:val="00803F0F"/>
    <w:rsid w:val="00804D2F"/>
    <w:rsid w:val="0080504E"/>
    <w:rsid w:val="00807847"/>
    <w:rsid w:val="00817D99"/>
    <w:rsid w:val="00817F22"/>
    <w:rsid w:val="00820CFB"/>
    <w:rsid w:val="008236BB"/>
    <w:rsid w:val="00824F64"/>
    <w:rsid w:val="00833F46"/>
    <w:rsid w:val="00837E8F"/>
    <w:rsid w:val="008408B4"/>
    <w:rsid w:val="008476BD"/>
    <w:rsid w:val="00850BF9"/>
    <w:rsid w:val="008514CC"/>
    <w:rsid w:val="008530F1"/>
    <w:rsid w:val="0085740C"/>
    <w:rsid w:val="00862AFC"/>
    <w:rsid w:val="008664F8"/>
    <w:rsid w:val="00871221"/>
    <w:rsid w:val="00874568"/>
    <w:rsid w:val="00874F5B"/>
    <w:rsid w:val="00882B0B"/>
    <w:rsid w:val="00882B18"/>
    <w:rsid w:val="00882D25"/>
    <w:rsid w:val="00897E42"/>
    <w:rsid w:val="008A73A4"/>
    <w:rsid w:val="008C0EAA"/>
    <w:rsid w:val="008C5091"/>
    <w:rsid w:val="008C6976"/>
    <w:rsid w:val="008D060F"/>
    <w:rsid w:val="008D09DF"/>
    <w:rsid w:val="008D09E9"/>
    <w:rsid w:val="008D4155"/>
    <w:rsid w:val="008E4599"/>
    <w:rsid w:val="008F2746"/>
    <w:rsid w:val="008F5C9B"/>
    <w:rsid w:val="008F78A3"/>
    <w:rsid w:val="009027C4"/>
    <w:rsid w:val="00903389"/>
    <w:rsid w:val="0092167D"/>
    <w:rsid w:val="00925168"/>
    <w:rsid w:val="009267D4"/>
    <w:rsid w:val="0092B734"/>
    <w:rsid w:val="00931AB9"/>
    <w:rsid w:val="009347BC"/>
    <w:rsid w:val="0094246D"/>
    <w:rsid w:val="00951E62"/>
    <w:rsid w:val="00957116"/>
    <w:rsid w:val="00961E5E"/>
    <w:rsid w:val="00962DF0"/>
    <w:rsid w:val="00973726"/>
    <w:rsid w:val="00973FDD"/>
    <w:rsid w:val="00974430"/>
    <w:rsid w:val="00982E0A"/>
    <w:rsid w:val="00983D00"/>
    <w:rsid w:val="00984220"/>
    <w:rsid w:val="009905DA"/>
    <w:rsid w:val="00991441"/>
    <w:rsid w:val="009914F8"/>
    <w:rsid w:val="00995DDA"/>
    <w:rsid w:val="009A7637"/>
    <w:rsid w:val="009A7944"/>
    <w:rsid w:val="009B3D0F"/>
    <w:rsid w:val="009C409A"/>
    <w:rsid w:val="009C4983"/>
    <w:rsid w:val="009C7874"/>
    <w:rsid w:val="009D02B9"/>
    <w:rsid w:val="009D6F39"/>
    <w:rsid w:val="009E0F33"/>
    <w:rsid w:val="009E2C7E"/>
    <w:rsid w:val="009E2EA3"/>
    <w:rsid w:val="009E2FC3"/>
    <w:rsid w:val="009F2F88"/>
    <w:rsid w:val="009F4371"/>
    <w:rsid w:val="009F4D38"/>
    <w:rsid w:val="009F5986"/>
    <w:rsid w:val="009F7058"/>
    <w:rsid w:val="009F7474"/>
    <w:rsid w:val="009F7C02"/>
    <w:rsid w:val="00A03A84"/>
    <w:rsid w:val="00A041DA"/>
    <w:rsid w:val="00A06292"/>
    <w:rsid w:val="00A0655D"/>
    <w:rsid w:val="00A0696C"/>
    <w:rsid w:val="00A10827"/>
    <w:rsid w:val="00A129BF"/>
    <w:rsid w:val="00A155D6"/>
    <w:rsid w:val="00A16C2E"/>
    <w:rsid w:val="00A3228C"/>
    <w:rsid w:val="00A336AB"/>
    <w:rsid w:val="00A366C4"/>
    <w:rsid w:val="00A3748E"/>
    <w:rsid w:val="00A50E9C"/>
    <w:rsid w:val="00A5241B"/>
    <w:rsid w:val="00A56DED"/>
    <w:rsid w:val="00A619D5"/>
    <w:rsid w:val="00A6296F"/>
    <w:rsid w:val="00A66048"/>
    <w:rsid w:val="00A715D6"/>
    <w:rsid w:val="00A75E2D"/>
    <w:rsid w:val="00A80364"/>
    <w:rsid w:val="00A8168B"/>
    <w:rsid w:val="00A83DA7"/>
    <w:rsid w:val="00A8449D"/>
    <w:rsid w:val="00A906DF"/>
    <w:rsid w:val="00A941E0"/>
    <w:rsid w:val="00A94B58"/>
    <w:rsid w:val="00A973D1"/>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2965"/>
    <w:rsid w:val="00AF5FBD"/>
    <w:rsid w:val="00AF69BD"/>
    <w:rsid w:val="00B133EF"/>
    <w:rsid w:val="00B14453"/>
    <w:rsid w:val="00B14D35"/>
    <w:rsid w:val="00B166A4"/>
    <w:rsid w:val="00B17C96"/>
    <w:rsid w:val="00B2203A"/>
    <w:rsid w:val="00B25408"/>
    <w:rsid w:val="00B27CA7"/>
    <w:rsid w:val="00B35585"/>
    <w:rsid w:val="00B422BC"/>
    <w:rsid w:val="00B51B45"/>
    <w:rsid w:val="00B61022"/>
    <w:rsid w:val="00B650AD"/>
    <w:rsid w:val="00B75AAF"/>
    <w:rsid w:val="00B77FFD"/>
    <w:rsid w:val="00B92DBF"/>
    <w:rsid w:val="00B94DED"/>
    <w:rsid w:val="00B94E20"/>
    <w:rsid w:val="00B95681"/>
    <w:rsid w:val="00B965EF"/>
    <w:rsid w:val="00B96AC2"/>
    <w:rsid w:val="00BA3212"/>
    <w:rsid w:val="00BA761E"/>
    <w:rsid w:val="00BB0359"/>
    <w:rsid w:val="00BB082A"/>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232E3"/>
    <w:rsid w:val="00C3600D"/>
    <w:rsid w:val="00C41E5F"/>
    <w:rsid w:val="00C520B6"/>
    <w:rsid w:val="00C65E8F"/>
    <w:rsid w:val="00C71CC8"/>
    <w:rsid w:val="00C75B09"/>
    <w:rsid w:val="00C80993"/>
    <w:rsid w:val="00C80F6C"/>
    <w:rsid w:val="00C84252"/>
    <w:rsid w:val="00C915F2"/>
    <w:rsid w:val="00C962CE"/>
    <w:rsid w:val="00C9749A"/>
    <w:rsid w:val="00CA2C86"/>
    <w:rsid w:val="00CA7603"/>
    <w:rsid w:val="00CB054A"/>
    <w:rsid w:val="00CB0986"/>
    <w:rsid w:val="00CB1150"/>
    <w:rsid w:val="00CB1CB1"/>
    <w:rsid w:val="00CB4054"/>
    <w:rsid w:val="00CD6A6A"/>
    <w:rsid w:val="00CD79A9"/>
    <w:rsid w:val="00CE0174"/>
    <w:rsid w:val="00CE147F"/>
    <w:rsid w:val="00CE1B25"/>
    <w:rsid w:val="00CE34A4"/>
    <w:rsid w:val="00CE3AE8"/>
    <w:rsid w:val="00CF0992"/>
    <w:rsid w:val="00CF25F1"/>
    <w:rsid w:val="00D02CA4"/>
    <w:rsid w:val="00D05638"/>
    <w:rsid w:val="00D14D84"/>
    <w:rsid w:val="00D2009A"/>
    <w:rsid w:val="00D26CA1"/>
    <w:rsid w:val="00D27A12"/>
    <w:rsid w:val="00D30675"/>
    <w:rsid w:val="00D308CB"/>
    <w:rsid w:val="00D328AC"/>
    <w:rsid w:val="00D32FC6"/>
    <w:rsid w:val="00D337C5"/>
    <w:rsid w:val="00D3695D"/>
    <w:rsid w:val="00D371C2"/>
    <w:rsid w:val="00D41391"/>
    <w:rsid w:val="00D47F25"/>
    <w:rsid w:val="00D5044F"/>
    <w:rsid w:val="00D55073"/>
    <w:rsid w:val="00D56276"/>
    <w:rsid w:val="00D61330"/>
    <w:rsid w:val="00D6381B"/>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B6F80"/>
    <w:rsid w:val="00DC1A27"/>
    <w:rsid w:val="00DC2E94"/>
    <w:rsid w:val="00DD06AE"/>
    <w:rsid w:val="00DD7A11"/>
    <w:rsid w:val="00DE7785"/>
    <w:rsid w:val="00E02360"/>
    <w:rsid w:val="00E0575B"/>
    <w:rsid w:val="00E06133"/>
    <w:rsid w:val="00E118E0"/>
    <w:rsid w:val="00E13872"/>
    <w:rsid w:val="00E16910"/>
    <w:rsid w:val="00E16C25"/>
    <w:rsid w:val="00E229F8"/>
    <w:rsid w:val="00E30F0D"/>
    <w:rsid w:val="00E32247"/>
    <w:rsid w:val="00E3459E"/>
    <w:rsid w:val="00E41B85"/>
    <w:rsid w:val="00E43843"/>
    <w:rsid w:val="00E45038"/>
    <w:rsid w:val="00E5787C"/>
    <w:rsid w:val="00E623E8"/>
    <w:rsid w:val="00E73DF1"/>
    <w:rsid w:val="00E77FB4"/>
    <w:rsid w:val="00E871F6"/>
    <w:rsid w:val="00E933DA"/>
    <w:rsid w:val="00E93936"/>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5F1C"/>
    <w:rsid w:val="00F26282"/>
    <w:rsid w:val="00F31CEE"/>
    <w:rsid w:val="00F32E6D"/>
    <w:rsid w:val="00F330AC"/>
    <w:rsid w:val="00F337C1"/>
    <w:rsid w:val="00F34AFB"/>
    <w:rsid w:val="00F402F4"/>
    <w:rsid w:val="00F42311"/>
    <w:rsid w:val="00F42846"/>
    <w:rsid w:val="00F51C9A"/>
    <w:rsid w:val="00F5243A"/>
    <w:rsid w:val="00F541BE"/>
    <w:rsid w:val="00F56008"/>
    <w:rsid w:val="00F5602B"/>
    <w:rsid w:val="00F6341D"/>
    <w:rsid w:val="00F75FAF"/>
    <w:rsid w:val="00F80675"/>
    <w:rsid w:val="00F81AF4"/>
    <w:rsid w:val="00F942C8"/>
    <w:rsid w:val="00FA5DD0"/>
    <w:rsid w:val="00FB0AF5"/>
    <w:rsid w:val="00FB1D24"/>
    <w:rsid w:val="00FB2EF2"/>
    <w:rsid w:val="00FB3198"/>
    <w:rsid w:val="00FC5AA3"/>
    <w:rsid w:val="00FD2FD5"/>
    <w:rsid w:val="00FD301C"/>
    <w:rsid w:val="00FD52D0"/>
    <w:rsid w:val="00FD7BE2"/>
    <w:rsid w:val="00FE0500"/>
    <w:rsid w:val="00FE067F"/>
    <w:rsid w:val="00FE5D1B"/>
    <w:rsid w:val="00FF3EF3"/>
    <w:rsid w:val="00FF6FA5"/>
    <w:rsid w:val="01381477"/>
    <w:rsid w:val="01895D62"/>
    <w:rsid w:val="01AEDFB4"/>
    <w:rsid w:val="01FFBAC5"/>
    <w:rsid w:val="0205D265"/>
    <w:rsid w:val="0219B85E"/>
    <w:rsid w:val="02246D42"/>
    <w:rsid w:val="0228FEB8"/>
    <w:rsid w:val="024AF9C6"/>
    <w:rsid w:val="02DD6E38"/>
    <w:rsid w:val="02FB44A0"/>
    <w:rsid w:val="03097DBA"/>
    <w:rsid w:val="03134A3F"/>
    <w:rsid w:val="031DA6D6"/>
    <w:rsid w:val="0343659A"/>
    <w:rsid w:val="03557135"/>
    <w:rsid w:val="0371C0C0"/>
    <w:rsid w:val="037EF321"/>
    <w:rsid w:val="037FE96F"/>
    <w:rsid w:val="039CD09C"/>
    <w:rsid w:val="03D1514D"/>
    <w:rsid w:val="03E6CA27"/>
    <w:rsid w:val="03F2342D"/>
    <w:rsid w:val="03F52EAA"/>
    <w:rsid w:val="042476C5"/>
    <w:rsid w:val="0434E5D7"/>
    <w:rsid w:val="046CD024"/>
    <w:rsid w:val="0486CC0E"/>
    <w:rsid w:val="0495E4D1"/>
    <w:rsid w:val="04E4936F"/>
    <w:rsid w:val="04F8FC4B"/>
    <w:rsid w:val="053C2657"/>
    <w:rsid w:val="053F8AEE"/>
    <w:rsid w:val="0554A52E"/>
    <w:rsid w:val="05699C7A"/>
    <w:rsid w:val="05829A88"/>
    <w:rsid w:val="058A4E90"/>
    <w:rsid w:val="05CA421A"/>
    <w:rsid w:val="05D0B638"/>
    <w:rsid w:val="05EFAD20"/>
    <w:rsid w:val="0626EFA4"/>
    <w:rsid w:val="06A9FCBB"/>
    <w:rsid w:val="06DB5B4F"/>
    <w:rsid w:val="06FE5A17"/>
    <w:rsid w:val="07003558"/>
    <w:rsid w:val="07324EC6"/>
    <w:rsid w:val="07E775B1"/>
    <w:rsid w:val="080DB31C"/>
    <w:rsid w:val="081C3431"/>
    <w:rsid w:val="082C0986"/>
    <w:rsid w:val="0833A1E9"/>
    <w:rsid w:val="0845CD1C"/>
    <w:rsid w:val="08846A78"/>
    <w:rsid w:val="08E3A64A"/>
    <w:rsid w:val="093009B9"/>
    <w:rsid w:val="096537BF"/>
    <w:rsid w:val="0967503C"/>
    <w:rsid w:val="09B80492"/>
    <w:rsid w:val="09BB7A98"/>
    <w:rsid w:val="09CA53DC"/>
    <w:rsid w:val="09D76D9D"/>
    <w:rsid w:val="09E32E90"/>
    <w:rsid w:val="0A126E99"/>
    <w:rsid w:val="0A12FC11"/>
    <w:rsid w:val="0A22CB2E"/>
    <w:rsid w:val="0A396336"/>
    <w:rsid w:val="0A56E11C"/>
    <w:rsid w:val="0A66F783"/>
    <w:rsid w:val="0A830D4B"/>
    <w:rsid w:val="0ACABCA1"/>
    <w:rsid w:val="0AF6CBAF"/>
    <w:rsid w:val="0B0BBEBF"/>
    <w:rsid w:val="0B1BC9E9"/>
    <w:rsid w:val="0B535307"/>
    <w:rsid w:val="0B741556"/>
    <w:rsid w:val="0B7840ED"/>
    <w:rsid w:val="0B7AFDD1"/>
    <w:rsid w:val="0B7D6DDE"/>
    <w:rsid w:val="0B87BF3A"/>
    <w:rsid w:val="0C1B470C"/>
    <w:rsid w:val="0C1C22C4"/>
    <w:rsid w:val="0C99E97A"/>
    <w:rsid w:val="0C9AA1DF"/>
    <w:rsid w:val="0CAA0C55"/>
    <w:rsid w:val="0D5FE3FC"/>
    <w:rsid w:val="0D90A60C"/>
    <w:rsid w:val="0DB230AE"/>
    <w:rsid w:val="0DD3B925"/>
    <w:rsid w:val="0E7003BC"/>
    <w:rsid w:val="0E8B75B5"/>
    <w:rsid w:val="0EB3EDDF"/>
    <w:rsid w:val="0EDA8EF3"/>
    <w:rsid w:val="0EDE5D90"/>
    <w:rsid w:val="0EE72CD5"/>
    <w:rsid w:val="0EFC6183"/>
    <w:rsid w:val="0F0E569C"/>
    <w:rsid w:val="0F56860D"/>
    <w:rsid w:val="103A792B"/>
    <w:rsid w:val="106B5B71"/>
    <w:rsid w:val="1089EEC2"/>
    <w:rsid w:val="10D92E11"/>
    <w:rsid w:val="1101E0AC"/>
    <w:rsid w:val="119D6272"/>
    <w:rsid w:val="120EC316"/>
    <w:rsid w:val="121E0DF6"/>
    <w:rsid w:val="1255298D"/>
    <w:rsid w:val="12626279"/>
    <w:rsid w:val="126E51EA"/>
    <w:rsid w:val="126F14BD"/>
    <w:rsid w:val="12768771"/>
    <w:rsid w:val="127EA705"/>
    <w:rsid w:val="12A543E5"/>
    <w:rsid w:val="13042C7F"/>
    <w:rsid w:val="1329C9FA"/>
    <w:rsid w:val="13DD06FE"/>
    <w:rsid w:val="13FCEDF1"/>
    <w:rsid w:val="141DF277"/>
    <w:rsid w:val="14278977"/>
    <w:rsid w:val="146712A7"/>
    <w:rsid w:val="147A96D9"/>
    <w:rsid w:val="1498E25E"/>
    <w:rsid w:val="14C2885B"/>
    <w:rsid w:val="14E39695"/>
    <w:rsid w:val="14F10F3A"/>
    <w:rsid w:val="1501CF3F"/>
    <w:rsid w:val="1595C59F"/>
    <w:rsid w:val="15A485D8"/>
    <w:rsid w:val="16335994"/>
    <w:rsid w:val="1651FF50"/>
    <w:rsid w:val="16A9078C"/>
    <w:rsid w:val="1733C7DF"/>
    <w:rsid w:val="1737EC9D"/>
    <w:rsid w:val="17629935"/>
    <w:rsid w:val="17A84891"/>
    <w:rsid w:val="17AEE583"/>
    <w:rsid w:val="17FC5F22"/>
    <w:rsid w:val="1825E2DD"/>
    <w:rsid w:val="184B25AA"/>
    <w:rsid w:val="1851BCA6"/>
    <w:rsid w:val="1852D22D"/>
    <w:rsid w:val="18644E07"/>
    <w:rsid w:val="18B4ADB2"/>
    <w:rsid w:val="194E64A9"/>
    <w:rsid w:val="19B6BDC9"/>
    <w:rsid w:val="19E8A648"/>
    <w:rsid w:val="1A001E68"/>
    <w:rsid w:val="1A11535F"/>
    <w:rsid w:val="1AB15F2E"/>
    <w:rsid w:val="1AD1C0A4"/>
    <w:rsid w:val="1AE3DFB0"/>
    <w:rsid w:val="1AFBA942"/>
    <w:rsid w:val="1B03E1AF"/>
    <w:rsid w:val="1B15F8DD"/>
    <w:rsid w:val="1B19B3A8"/>
    <w:rsid w:val="1B8EE828"/>
    <w:rsid w:val="1BEFAC84"/>
    <w:rsid w:val="1BF62A83"/>
    <w:rsid w:val="1C1469E7"/>
    <w:rsid w:val="1C238DC1"/>
    <w:rsid w:val="1C355F41"/>
    <w:rsid w:val="1C40EB34"/>
    <w:rsid w:val="1C55370E"/>
    <w:rsid w:val="1C971E9B"/>
    <w:rsid w:val="1CC045AB"/>
    <w:rsid w:val="1D1E96CD"/>
    <w:rsid w:val="1D222A97"/>
    <w:rsid w:val="1D5702B6"/>
    <w:rsid w:val="1D753AD0"/>
    <w:rsid w:val="1D8E2F81"/>
    <w:rsid w:val="1DC01DF3"/>
    <w:rsid w:val="1DCAD173"/>
    <w:rsid w:val="1DF98C11"/>
    <w:rsid w:val="1E096166"/>
    <w:rsid w:val="1E3ABF2F"/>
    <w:rsid w:val="1E4C50D7"/>
    <w:rsid w:val="1E5A9483"/>
    <w:rsid w:val="1E78D762"/>
    <w:rsid w:val="1E792C8A"/>
    <w:rsid w:val="1E8EDC97"/>
    <w:rsid w:val="1E9AF114"/>
    <w:rsid w:val="1EDCEDEA"/>
    <w:rsid w:val="1F234254"/>
    <w:rsid w:val="1F3D5993"/>
    <w:rsid w:val="1F9E2876"/>
    <w:rsid w:val="1FBC73F4"/>
    <w:rsid w:val="1FC1CD14"/>
    <w:rsid w:val="1FE46A5C"/>
    <w:rsid w:val="2022A6A4"/>
    <w:rsid w:val="20409F2B"/>
    <w:rsid w:val="2047446D"/>
    <w:rsid w:val="2048B037"/>
    <w:rsid w:val="205DAA43"/>
    <w:rsid w:val="2070AA5E"/>
    <w:rsid w:val="20AB1C6A"/>
    <w:rsid w:val="2157185D"/>
    <w:rsid w:val="2199631A"/>
    <w:rsid w:val="21B39CC6"/>
    <w:rsid w:val="21E59736"/>
    <w:rsid w:val="21EC8674"/>
    <w:rsid w:val="223E7F82"/>
    <w:rsid w:val="2269D33E"/>
    <w:rsid w:val="22B77189"/>
    <w:rsid w:val="231C0B1E"/>
    <w:rsid w:val="231FE646"/>
    <w:rsid w:val="23223DCF"/>
    <w:rsid w:val="2373A520"/>
    <w:rsid w:val="23C0D7A6"/>
    <w:rsid w:val="240295C4"/>
    <w:rsid w:val="2419877F"/>
    <w:rsid w:val="241C990C"/>
    <w:rsid w:val="242A3B2D"/>
    <w:rsid w:val="2430D1E6"/>
    <w:rsid w:val="243103BC"/>
    <w:rsid w:val="2437B1A6"/>
    <w:rsid w:val="2466F8FA"/>
    <w:rsid w:val="248EB91F"/>
    <w:rsid w:val="24EDAC51"/>
    <w:rsid w:val="24EE4D0F"/>
    <w:rsid w:val="24F0A5F0"/>
    <w:rsid w:val="24FAE0AB"/>
    <w:rsid w:val="2532682F"/>
    <w:rsid w:val="25491073"/>
    <w:rsid w:val="25A130D9"/>
    <w:rsid w:val="25B925DA"/>
    <w:rsid w:val="267CC9B9"/>
    <w:rsid w:val="2693D6E5"/>
    <w:rsid w:val="26A37A1A"/>
    <w:rsid w:val="26D73B50"/>
    <w:rsid w:val="26EF7E1B"/>
    <w:rsid w:val="26FD3690"/>
    <w:rsid w:val="27721965"/>
    <w:rsid w:val="2799AB94"/>
    <w:rsid w:val="27A93A5B"/>
    <w:rsid w:val="27CEEAB6"/>
    <w:rsid w:val="27EA2AFF"/>
    <w:rsid w:val="27EA317A"/>
    <w:rsid w:val="28044FD7"/>
    <w:rsid w:val="282846B2"/>
    <w:rsid w:val="28557705"/>
    <w:rsid w:val="285C3746"/>
    <w:rsid w:val="28A60E31"/>
    <w:rsid w:val="28B71276"/>
    <w:rsid w:val="28BE39D0"/>
    <w:rsid w:val="28E27C61"/>
    <w:rsid w:val="28F05E1D"/>
    <w:rsid w:val="29112280"/>
    <w:rsid w:val="291CEF99"/>
    <w:rsid w:val="294389E8"/>
    <w:rsid w:val="29C41713"/>
    <w:rsid w:val="29FCAA3A"/>
    <w:rsid w:val="2A1B4597"/>
    <w:rsid w:val="2A34D752"/>
    <w:rsid w:val="2A8FBA30"/>
    <w:rsid w:val="2ACA9B64"/>
    <w:rsid w:val="2B43C578"/>
    <w:rsid w:val="2B5CEDD5"/>
    <w:rsid w:val="2BAA00C5"/>
    <w:rsid w:val="2BB30309"/>
    <w:rsid w:val="2BC19295"/>
    <w:rsid w:val="2BD0A7B3"/>
    <w:rsid w:val="2BF51CE3"/>
    <w:rsid w:val="2C07DE53"/>
    <w:rsid w:val="2C0C980D"/>
    <w:rsid w:val="2CB0F76E"/>
    <w:rsid w:val="2CDCBE16"/>
    <w:rsid w:val="2CDF95D9"/>
    <w:rsid w:val="2CED9938"/>
    <w:rsid w:val="2D0A3025"/>
    <w:rsid w:val="2D2F4328"/>
    <w:rsid w:val="2D4E21F2"/>
    <w:rsid w:val="2D6C7814"/>
    <w:rsid w:val="2D6EC9B5"/>
    <w:rsid w:val="2D7A6318"/>
    <w:rsid w:val="2D8C0213"/>
    <w:rsid w:val="2D8F8EC5"/>
    <w:rsid w:val="2DB8E1B2"/>
    <w:rsid w:val="2DFF3849"/>
    <w:rsid w:val="2E18B17E"/>
    <w:rsid w:val="2E243F80"/>
    <w:rsid w:val="2E5607EC"/>
    <w:rsid w:val="2E658E2A"/>
    <w:rsid w:val="2E7D385F"/>
    <w:rsid w:val="2E9B9BD3"/>
    <w:rsid w:val="2EE0FB79"/>
    <w:rsid w:val="2F084875"/>
    <w:rsid w:val="2F379D86"/>
    <w:rsid w:val="2F811D08"/>
    <w:rsid w:val="2F88AFE0"/>
    <w:rsid w:val="2F94BA3C"/>
    <w:rsid w:val="2FA78F5C"/>
    <w:rsid w:val="2FC2731A"/>
    <w:rsid w:val="2FE5AD68"/>
    <w:rsid w:val="2FF51CAE"/>
    <w:rsid w:val="301908C0"/>
    <w:rsid w:val="305BA670"/>
    <w:rsid w:val="3097F7B9"/>
    <w:rsid w:val="30D8A834"/>
    <w:rsid w:val="30DF2CE2"/>
    <w:rsid w:val="3132E361"/>
    <w:rsid w:val="31AB5657"/>
    <w:rsid w:val="31B306FC"/>
    <w:rsid w:val="31B4D921"/>
    <w:rsid w:val="31BAF482"/>
    <w:rsid w:val="31CC2F59"/>
    <w:rsid w:val="31E0103B"/>
    <w:rsid w:val="31E18517"/>
    <w:rsid w:val="31EFA4A9"/>
    <w:rsid w:val="321BC471"/>
    <w:rsid w:val="321F0782"/>
    <w:rsid w:val="32422094"/>
    <w:rsid w:val="3276F464"/>
    <w:rsid w:val="328CB1CF"/>
    <w:rsid w:val="32B4415D"/>
    <w:rsid w:val="32BF2258"/>
    <w:rsid w:val="32E456A9"/>
    <w:rsid w:val="3339101F"/>
    <w:rsid w:val="338D10CB"/>
    <w:rsid w:val="33B5BB7E"/>
    <w:rsid w:val="33CF278C"/>
    <w:rsid w:val="33E7E4CB"/>
    <w:rsid w:val="340486B2"/>
    <w:rsid w:val="340C0737"/>
    <w:rsid w:val="34795007"/>
    <w:rsid w:val="34AF85AA"/>
    <w:rsid w:val="34B17E87"/>
    <w:rsid w:val="34F29544"/>
    <w:rsid w:val="351BD19F"/>
    <w:rsid w:val="356E4F39"/>
    <w:rsid w:val="35776D8F"/>
    <w:rsid w:val="358127DF"/>
    <w:rsid w:val="3599BD87"/>
    <w:rsid w:val="35A63D4D"/>
    <w:rsid w:val="35B14EF3"/>
    <w:rsid w:val="367FDF01"/>
    <w:rsid w:val="36847549"/>
    <w:rsid w:val="36ABD0AE"/>
    <w:rsid w:val="36FB50FF"/>
    <w:rsid w:val="37183D82"/>
    <w:rsid w:val="372BF6FC"/>
    <w:rsid w:val="372C82B7"/>
    <w:rsid w:val="37447672"/>
    <w:rsid w:val="37610D5F"/>
    <w:rsid w:val="37A7BF2D"/>
    <w:rsid w:val="37ADB87C"/>
    <w:rsid w:val="37C1A124"/>
    <w:rsid w:val="37C74BAB"/>
    <w:rsid w:val="380D0C44"/>
    <w:rsid w:val="381C8126"/>
    <w:rsid w:val="383D4A27"/>
    <w:rsid w:val="38DC2048"/>
    <w:rsid w:val="3927BC4A"/>
    <w:rsid w:val="394127AB"/>
    <w:rsid w:val="395E2990"/>
    <w:rsid w:val="3964AF04"/>
    <w:rsid w:val="39787271"/>
    <w:rsid w:val="399668BF"/>
    <w:rsid w:val="3A3FC4AF"/>
    <w:rsid w:val="3A63D25C"/>
    <w:rsid w:val="3A6ECC3A"/>
    <w:rsid w:val="3A9CAF7F"/>
    <w:rsid w:val="3AB3ADF9"/>
    <w:rsid w:val="3ADCF80C"/>
    <w:rsid w:val="3AEDD835"/>
    <w:rsid w:val="3B29BE6A"/>
    <w:rsid w:val="3B33E16E"/>
    <w:rsid w:val="3B3F8207"/>
    <w:rsid w:val="3B624E56"/>
    <w:rsid w:val="3B88337F"/>
    <w:rsid w:val="3B8C1D80"/>
    <w:rsid w:val="3BA46A25"/>
    <w:rsid w:val="3BE6CB7D"/>
    <w:rsid w:val="3CFE5F8E"/>
    <w:rsid w:val="3D2177EB"/>
    <w:rsid w:val="3D73E66E"/>
    <w:rsid w:val="3D84DE3D"/>
    <w:rsid w:val="3D91FF7D"/>
    <w:rsid w:val="3DB3C4D3"/>
    <w:rsid w:val="3DF1305C"/>
    <w:rsid w:val="3E2C1D69"/>
    <w:rsid w:val="3E4EF466"/>
    <w:rsid w:val="3E6B6C1D"/>
    <w:rsid w:val="3E95A771"/>
    <w:rsid w:val="3EBCB784"/>
    <w:rsid w:val="3F1E6C3F"/>
    <w:rsid w:val="3F365E83"/>
    <w:rsid w:val="3F449F5B"/>
    <w:rsid w:val="3FAEAE8F"/>
    <w:rsid w:val="3FAF93AF"/>
    <w:rsid w:val="3FE09CCE"/>
    <w:rsid w:val="400E2B21"/>
    <w:rsid w:val="4051CE32"/>
    <w:rsid w:val="40A44F5D"/>
    <w:rsid w:val="40AC4FDB"/>
    <w:rsid w:val="40B50C4B"/>
    <w:rsid w:val="40BA3CA0"/>
    <w:rsid w:val="4136797E"/>
    <w:rsid w:val="41431760"/>
    <w:rsid w:val="4146C360"/>
    <w:rsid w:val="414B6410"/>
    <w:rsid w:val="414BDD0E"/>
    <w:rsid w:val="41793EEB"/>
    <w:rsid w:val="418B420E"/>
    <w:rsid w:val="419AC62D"/>
    <w:rsid w:val="41B9FED8"/>
    <w:rsid w:val="41C94216"/>
    <w:rsid w:val="42345B4B"/>
    <w:rsid w:val="4246BA1E"/>
    <w:rsid w:val="426327FB"/>
    <w:rsid w:val="426F61DE"/>
    <w:rsid w:val="4276CD1C"/>
    <w:rsid w:val="42AEC53C"/>
    <w:rsid w:val="4317159F"/>
    <w:rsid w:val="431E45FD"/>
    <w:rsid w:val="43302DEA"/>
    <w:rsid w:val="43458E3A"/>
    <w:rsid w:val="436CE8AD"/>
    <w:rsid w:val="4494BA7B"/>
    <w:rsid w:val="44E37884"/>
    <w:rsid w:val="450FC64A"/>
    <w:rsid w:val="453D3AF5"/>
    <w:rsid w:val="454BA7FE"/>
    <w:rsid w:val="455E74E8"/>
    <w:rsid w:val="4563157A"/>
    <w:rsid w:val="463C5506"/>
    <w:rsid w:val="46538F10"/>
    <w:rsid w:val="46BA5C14"/>
    <w:rsid w:val="46C4B748"/>
    <w:rsid w:val="46C4BF08"/>
    <w:rsid w:val="4712DF28"/>
    <w:rsid w:val="4716057F"/>
    <w:rsid w:val="47316BAA"/>
    <w:rsid w:val="474DC5CD"/>
    <w:rsid w:val="4806C035"/>
    <w:rsid w:val="48127628"/>
    <w:rsid w:val="481C5D9F"/>
    <w:rsid w:val="48A5EAFF"/>
    <w:rsid w:val="48B9EA79"/>
    <w:rsid w:val="48C83B62"/>
    <w:rsid w:val="490BDCB4"/>
    <w:rsid w:val="49790849"/>
    <w:rsid w:val="497E3762"/>
    <w:rsid w:val="4A11A565"/>
    <w:rsid w:val="4A3D7F8A"/>
    <w:rsid w:val="4A423424"/>
    <w:rsid w:val="4A73B52D"/>
    <w:rsid w:val="4A85668F"/>
    <w:rsid w:val="4A9A1C52"/>
    <w:rsid w:val="4B077F30"/>
    <w:rsid w:val="4B11CE61"/>
    <w:rsid w:val="4B531B32"/>
    <w:rsid w:val="4B8C2470"/>
    <w:rsid w:val="4B98302B"/>
    <w:rsid w:val="4BA1B784"/>
    <w:rsid w:val="4BB062F5"/>
    <w:rsid w:val="4BCFA373"/>
    <w:rsid w:val="4BFB5485"/>
    <w:rsid w:val="4C08D32A"/>
    <w:rsid w:val="4C2136F0"/>
    <w:rsid w:val="4C5CF336"/>
    <w:rsid w:val="4C5ED180"/>
    <w:rsid w:val="4C8C7958"/>
    <w:rsid w:val="4CA7B9E6"/>
    <w:rsid w:val="4D301E7C"/>
    <w:rsid w:val="4D938F53"/>
    <w:rsid w:val="4DAB5C6A"/>
    <w:rsid w:val="4E438A47"/>
    <w:rsid w:val="4E52528A"/>
    <w:rsid w:val="4EB664AC"/>
    <w:rsid w:val="4EF3FFF8"/>
    <w:rsid w:val="4F0A90E0"/>
    <w:rsid w:val="4F1DC186"/>
    <w:rsid w:val="4F225913"/>
    <w:rsid w:val="4F274B8F"/>
    <w:rsid w:val="4F5AAFFB"/>
    <w:rsid w:val="4F8A35EA"/>
    <w:rsid w:val="4FE18349"/>
    <w:rsid w:val="504247A3"/>
    <w:rsid w:val="505278F1"/>
    <w:rsid w:val="505962E2"/>
    <w:rsid w:val="505DE7ED"/>
    <w:rsid w:val="50B87DB0"/>
    <w:rsid w:val="50E6DC95"/>
    <w:rsid w:val="516FFE43"/>
    <w:rsid w:val="519B117F"/>
    <w:rsid w:val="52741E51"/>
    <w:rsid w:val="5291057E"/>
    <w:rsid w:val="52D1D825"/>
    <w:rsid w:val="52F17484"/>
    <w:rsid w:val="52FA3A32"/>
    <w:rsid w:val="53168BCF"/>
    <w:rsid w:val="53C7A981"/>
    <w:rsid w:val="53CB66AB"/>
    <w:rsid w:val="53F1C772"/>
    <w:rsid w:val="541A9773"/>
    <w:rsid w:val="54943671"/>
    <w:rsid w:val="54F79088"/>
    <w:rsid w:val="555B7055"/>
    <w:rsid w:val="556E71F0"/>
    <w:rsid w:val="55E611B2"/>
    <w:rsid w:val="561BDCA0"/>
    <w:rsid w:val="561FD425"/>
    <w:rsid w:val="562680AD"/>
    <w:rsid w:val="564CEA7D"/>
    <w:rsid w:val="564E9C2C"/>
    <w:rsid w:val="56685BA5"/>
    <w:rsid w:val="5673F524"/>
    <w:rsid w:val="568A2EA4"/>
    <w:rsid w:val="5691F490"/>
    <w:rsid w:val="57183FCF"/>
    <w:rsid w:val="575BF8A0"/>
    <w:rsid w:val="578E7462"/>
    <w:rsid w:val="57BDAC18"/>
    <w:rsid w:val="57BF8E87"/>
    <w:rsid w:val="5825BCCD"/>
    <w:rsid w:val="5835C708"/>
    <w:rsid w:val="583E2419"/>
    <w:rsid w:val="586474C7"/>
    <w:rsid w:val="5870F5D4"/>
    <w:rsid w:val="58803811"/>
    <w:rsid w:val="58931117"/>
    <w:rsid w:val="5897BA1C"/>
    <w:rsid w:val="58AC3974"/>
    <w:rsid w:val="58FCEB1D"/>
    <w:rsid w:val="5929E4A9"/>
    <w:rsid w:val="595B5EE8"/>
    <w:rsid w:val="597FF959"/>
    <w:rsid w:val="59C3E962"/>
    <w:rsid w:val="59E4E1BC"/>
    <w:rsid w:val="5A945DF2"/>
    <w:rsid w:val="5AA9562B"/>
    <w:rsid w:val="5AF9F1D0"/>
    <w:rsid w:val="5AFACCD5"/>
    <w:rsid w:val="5B291E8E"/>
    <w:rsid w:val="5B366F54"/>
    <w:rsid w:val="5B45184A"/>
    <w:rsid w:val="5B891FDD"/>
    <w:rsid w:val="5BF70D4B"/>
    <w:rsid w:val="5C2D96DE"/>
    <w:rsid w:val="5C75ED4C"/>
    <w:rsid w:val="5C9B3855"/>
    <w:rsid w:val="5CA547C7"/>
    <w:rsid w:val="5CAE0ED6"/>
    <w:rsid w:val="5D05A162"/>
    <w:rsid w:val="5D14E591"/>
    <w:rsid w:val="5D38E97F"/>
    <w:rsid w:val="5D53C276"/>
    <w:rsid w:val="5DC78AAC"/>
    <w:rsid w:val="5E0AF58B"/>
    <w:rsid w:val="5E265283"/>
    <w:rsid w:val="5E374976"/>
    <w:rsid w:val="5EB53CAC"/>
    <w:rsid w:val="5ED225B2"/>
    <w:rsid w:val="5F03C5CB"/>
    <w:rsid w:val="5F11D2F9"/>
    <w:rsid w:val="5F653E1B"/>
    <w:rsid w:val="5F79AB33"/>
    <w:rsid w:val="5F8ABD79"/>
    <w:rsid w:val="5FB43A96"/>
    <w:rsid w:val="5FEC0FB8"/>
    <w:rsid w:val="60015B5E"/>
    <w:rsid w:val="602B736F"/>
    <w:rsid w:val="6031324C"/>
    <w:rsid w:val="603B995D"/>
    <w:rsid w:val="60B35704"/>
    <w:rsid w:val="60F91A7B"/>
    <w:rsid w:val="60FAF456"/>
    <w:rsid w:val="613B44EA"/>
    <w:rsid w:val="616E5E53"/>
    <w:rsid w:val="617DC172"/>
    <w:rsid w:val="61A027AD"/>
    <w:rsid w:val="61A29A30"/>
    <w:rsid w:val="61DED45D"/>
    <w:rsid w:val="61E84C8C"/>
    <w:rsid w:val="620C9AAA"/>
    <w:rsid w:val="6253BE06"/>
    <w:rsid w:val="62669DCF"/>
    <w:rsid w:val="62D7FA76"/>
    <w:rsid w:val="62F8300F"/>
    <w:rsid w:val="63751B69"/>
    <w:rsid w:val="639366B4"/>
    <w:rsid w:val="6408B688"/>
    <w:rsid w:val="641587A2"/>
    <w:rsid w:val="6446160A"/>
    <w:rsid w:val="6468A5D9"/>
    <w:rsid w:val="649E473A"/>
    <w:rsid w:val="64A2D7E7"/>
    <w:rsid w:val="64B87B69"/>
    <w:rsid w:val="64D52030"/>
    <w:rsid w:val="651BF274"/>
    <w:rsid w:val="654C1AC0"/>
    <w:rsid w:val="656DC698"/>
    <w:rsid w:val="657AC06F"/>
    <w:rsid w:val="658DEA81"/>
    <w:rsid w:val="65C5CC8B"/>
    <w:rsid w:val="663C3A55"/>
    <w:rsid w:val="6641CF76"/>
    <w:rsid w:val="664727EB"/>
    <w:rsid w:val="666E8FEE"/>
    <w:rsid w:val="66A073D0"/>
    <w:rsid w:val="66B8C757"/>
    <w:rsid w:val="66CED218"/>
    <w:rsid w:val="66D21CC3"/>
    <w:rsid w:val="66F80209"/>
    <w:rsid w:val="673B2519"/>
    <w:rsid w:val="677070C3"/>
    <w:rsid w:val="6789148C"/>
    <w:rsid w:val="67BF4C7B"/>
    <w:rsid w:val="67DA3967"/>
    <w:rsid w:val="67EF3398"/>
    <w:rsid w:val="67FB00B1"/>
    <w:rsid w:val="680174CF"/>
    <w:rsid w:val="68384DD4"/>
    <w:rsid w:val="68553501"/>
    <w:rsid w:val="68631AA7"/>
    <w:rsid w:val="691D74DC"/>
    <w:rsid w:val="699918C7"/>
    <w:rsid w:val="69A1ADD1"/>
    <w:rsid w:val="69ACCD29"/>
    <w:rsid w:val="69D74FFB"/>
    <w:rsid w:val="69F32F16"/>
    <w:rsid w:val="6A1EA8C2"/>
    <w:rsid w:val="6A287A4C"/>
    <w:rsid w:val="6A768BB3"/>
    <w:rsid w:val="6A9A45DD"/>
    <w:rsid w:val="6AA485B0"/>
    <w:rsid w:val="6AA7D2A0"/>
    <w:rsid w:val="6AA7EA47"/>
    <w:rsid w:val="6ABD0487"/>
    <w:rsid w:val="6ADE0DDC"/>
    <w:rsid w:val="6B3BB590"/>
    <w:rsid w:val="6B678B80"/>
    <w:rsid w:val="6B6DD33A"/>
    <w:rsid w:val="6B80FC7D"/>
    <w:rsid w:val="6B91DFEF"/>
    <w:rsid w:val="6BB6ED88"/>
    <w:rsid w:val="6BE4C67B"/>
    <w:rsid w:val="6BE7EDA9"/>
    <w:rsid w:val="6C2D1F7F"/>
    <w:rsid w:val="6C62B56A"/>
    <w:rsid w:val="6C9EB26A"/>
    <w:rsid w:val="6D2F9015"/>
    <w:rsid w:val="6DCE4FD6"/>
    <w:rsid w:val="6DDC2672"/>
    <w:rsid w:val="6E1DFD7D"/>
    <w:rsid w:val="6E399F6D"/>
    <w:rsid w:val="6E6B27BE"/>
    <w:rsid w:val="6E7411CE"/>
    <w:rsid w:val="6E745383"/>
    <w:rsid w:val="6E78567D"/>
    <w:rsid w:val="6EA4EAF8"/>
    <w:rsid w:val="6EBF8313"/>
    <w:rsid w:val="6EC04BD4"/>
    <w:rsid w:val="6F1703A3"/>
    <w:rsid w:val="6F2C2866"/>
    <w:rsid w:val="6F34CCC7"/>
    <w:rsid w:val="6F9C6FF6"/>
    <w:rsid w:val="6FE58A8E"/>
    <w:rsid w:val="6FFB1A88"/>
    <w:rsid w:val="7012347C"/>
    <w:rsid w:val="701BB9B6"/>
    <w:rsid w:val="703C1647"/>
    <w:rsid w:val="7045649C"/>
    <w:rsid w:val="70CF6216"/>
    <w:rsid w:val="70D48729"/>
    <w:rsid w:val="70E3DCF0"/>
    <w:rsid w:val="70FE09E9"/>
    <w:rsid w:val="71146527"/>
    <w:rsid w:val="715AC623"/>
    <w:rsid w:val="718DF9BC"/>
    <w:rsid w:val="71A28784"/>
    <w:rsid w:val="71E261E0"/>
    <w:rsid w:val="72194A68"/>
    <w:rsid w:val="7246E5DD"/>
    <w:rsid w:val="72A150BF"/>
    <w:rsid w:val="72A4D6C1"/>
    <w:rsid w:val="72B2FC2C"/>
    <w:rsid w:val="72CDBC04"/>
    <w:rsid w:val="74029079"/>
    <w:rsid w:val="740C27EB"/>
    <w:rsid w:val="7413D70D"/>
    <w:rsid w:val="7456B7C5"/>
    <w:rsid w:val="7463F87F"/>
    <w:rsid w:val="74927CE5"/>
    <w:rsid w:val="74B3A918"/>
    <w:rsid w:val="74BF1286"/>
    <w:rsid w:val="7535796A"/>
    <w:rsid w:val="754AF073"/>
    <w:rsid w:val="754D4513"/>
    <w:rsid w:val="757DB194"/>
    <w:rsid w:val="757E329F"/>
    <w:rsid w:val="757E869F"/>
    <w:rsid w:val="75A6E9B3"/>
    <w:rsid w:val="761AD350"/>
    <w:rsid w:val="76379752"/>
    <w:rsid w:val="76CF64ED"/>
    <w:rsid w:val="76F55F8D"/>
    <w:rsid w:val="76F5CF97"/>
    <w:rsid w:val="76FA77E4"/>
    <w:rsid w:val="774973D4"/>
    <w:rsid w:val="77509C53"/>
    <w:rsid w:val="775B0364"/>
    <w:rsid w:val="77866D4F"/>
    <w:rsid w:val="77BA6D1D"/>
    <w:rsid w:val="77BD88E6"/>
    <w:rsid w:val="77D44EEB"/>
    <w:rsid w:val="78222D0B"/>
    <w:rsid w:val="78378BA0"/>
    <w:rsid w:val="783C01C9"/>
    <w:rsid w:val="7895B23F"/>
    <w:rsid w:val="78C34983"/>
    <w:rsid w:val="78ED1820"/>
    <w:rsid w:val="7945685C"/>
    <w:rsid w:val="794CDD52"/>
    <w:rsid w:val="7958D762"/>
    <w:rsid w:val="796005CF"/>
    <w:rsid w:val="7966FEB5"/>
    <w:rsid w:val="79707CC0"/>
    <w:rsid w:val="798C6CD4"/>
    <w:rsid w:val="79B7D6BF"/>
    <w:rsid w:val="79BA3952"/>
    <w:rsid w:val="79C64F0F"/>
    <w:rsid w:val="7A24842A"/>
    <w:rsid w:val="7A3FE7E0"/>
    <w:rsid w:val="7AB4CF7C"/>
    <w:rsid w:val="7B07E703"/>
    <w:rsid w:val="7B14F369"/>
    <w:rsid w:val="7B3DB128"/>
    <w:rsid w:val="7B67B9AE"/>
    <w:rsid w:val="7B7EC7E5"/>
    <w:rsid w:val="7BB825DB"/>
    <w:rsid w:val="7BDF97D4"/>
    <w:rsid w:val="7BF9D60F"/>
    <w:rsid w:val="7C39CC24"/>
    <w:rsid w:val="7C5A44BE"/>
    <w:rsid w:val="7C6A677C"/>
    <w:rsid w:val="7CA04BF6"/>
    <w:rsid w:val="7CA188A4"/>
    <w:rsid w:val="7CAAE539"/>
    <w:rsid w:val="7CAE5FFB"/>
    <w:rsid w:val="7CBA0763"/>
    <w:rsid w:val="7CD98189"/>
    <w:rsid w:val="7CDC8BFF"/>
    <w:rsid w:val="7CF1D466"/>
    <w:rsid w:val="7D89C2DC"/>
    <w:rsid w:val="7E0B5788"/>
    <w:rsid w:val="7E12CA67"/>
    <w:rsid w:val="7E47621E"/>
    <w:rsid w:val="7E4B39AD"/>
    <w:rsid w:val="7E4C9F4F"/>
    <w:rsid w:val="7E8B2AB1"/>
    <w:rsid w:val="7EB882CD"/>
    <w:rsid w:val="7F4F7971"/>
    <w:rsid w:val="7F5B0095"/>
    <w:rsid w:val="7F6565A7"/>
    <w:rsid w:val="7F851452"/>
    <w:rsid w:val="7FC1B772"/>
    <w:rsid w:val="7FFEF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E229F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229F8"/>
    <w:rPr>
      <w:rFonts w:ascii="Arial" w:eastAsia="Times New Roman" w:hAnsi="Arial" w:cs="Tahoma"/>
      <w:sz w:val="20"/>
      <w:szCs w:val="20"/>
      <w:lang w:val="en-GB"/>
    </w:rPr>
  </w:style>
  <w:style w:type="character" w:styleId="EndnoteReference">
    <w:name w:val="endnote reference"/>
    <w:basedOn w:val="DefaultParagraphFont"/>
    <w:uiPriority w:val="99"/>
    <w:semiHidden/>
    <w:unhideWhenUsed/>
    <w:rsid w:val="00E22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4d76cd-aa1c-4a81-9750-c60d4e7115c9">
      <Terms xmlns="http://schemas.microsoft.com/office/infopath/2007/PartnerControls"/>
    </lcf76f155ced4ddcb4097134ff3c332f>
    <TaxCatchAll xmlns="be19f373-5f45-45c9-a488-e8295b82f5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8" ma:contentTypeDescription="Create a new document." ma:contentTypeScope="" ma:versionID="cade8012ee355f1bb1e12acda93ee174">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888fb25bb07f611cdc0cf5f9afba2c23"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025C6-EAEA-44A1-837B-96D172D88612}">
  <ds:schemaRefs>
    <ds:schemaRef ds:uri="http://schemas.openxmlformats.org/officeDocument/2006/bibliography"/>
  </ds:schemaRefs>
</ds:datastoreItem>
</file>

<file path=customXml/itemProps2.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4.xml><?xml version="1.0" encoding="utf-8"?>
<ds:datastoreItem xmlns:ds="http://schemas.openxmlformats.org/officeDocument/2006/customXml" ds:itemID="{3B14F2D1-2186-43E9-8D0F-421A9911EBF2}"/>
</file>

<file path=docProps/app.xml><?xml version="1.0" encoding="utf-8"?>
<Properties xmlns="http://schemas.openxmlformats.org/officeDocument/2006/extended-properties" xmlns:vt="http://schemas.openxmlformats.org/officeDocument/2006/docPropsVTypes">
  <Template>Normal</Template>
  <TotalTime>2</TotalTime>
  <Pages>11</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Jenkinson</dc:creator>
  <cp:lastModifiedBy>Brendan Cullinan</cp:lastModifiedBy>
  <cp:revision>3</cp:revision>
  <dcterms:created xsi:type="dcterms:W3CDTF">2021-10-29T04:19:00Z</dcterms:created>
  <dcterms:modified xsi:type="dcterms:W3CDTF">2021-10-29T04:27:00Z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y fmtid="{D5CDD505-2E9C-101B-9397-08002B2CF9AE}" pid="4" name="MediaServiceImageTags">
    <vt:lpwstr/>
  </property>
</Properties>
</file>